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82842" w14:textId="082C2ABD" w:rsidR="00C67627" w:rsidRPr="000F3171" w:rsidRDefault="00C67627" w:rsidP="00C67627">
      <w:pPr>
        <w:jc w:val="right"/>
        <w:rPr>
          <w:rFonts w:ascii="Calibri" w:hAnsi="Calibri" w:cs="Calibri"/>
          <w:b/>
          <w:sz w:val="24"/>
          <w:szCs w:val="24"/>
          <w:lang w:val="pl-PL"/>
        </w:rPr>
      </w:pPr>
      <w:r w:rsidRPr="000F3171">
        <w:rPr>
          <w:rFonts w:ascii="Calibri" w:hAnsi="Calibri" w:cs="Calibri"/>
          <w:b/>
          <w:sz w:val="24"/>
          <w:szCs w:val="24"/>
          <w:lang w:val="pl-PL"/>
        </w:rPr>
        <w:t xml:space="preserve">Warszawa, </w:t>
      </w:r>
      <w:r>
        <w:rPr>
          <w:rFonts w:ascii="Calibri" w:hAnsi="Calibri" w:cs="Calibri"/>
          <w:b/>
          <w:sz w:val="24"/>
          <w:szCs w:val="24"/>
          <w:lang w:val="pl-PL"/>
        </w:rPr>
        <w:t>22-01-2020 r.</w:t>
      </w:r>
    </w:p>
    <w:p w14:paraId="1A5D43B8" w14:textId="77777777" w:rsidR="00C67627" w:rsidRPr="000F3171" w:rsidRDefault="00C67627" w:rsidP="00C67627">
      <w:pPr>
        <w:rPr>
          <w:rFonts w:ascii="Calibri" w:hAnsi="Calibri"/>
          <w:b/>
          <w:sz w:val="24"/>
          <w:szCs w:val="24"/>
          <w:u w:val="single"/>
        </w:rPr>
      </w:pPr>
    </w:p>
    <w:p w14:paraId="4380C4F1" w14:textId="59E13B35" w:rsidR="00153679" w:rsidRPr="000F3171" w:rsidRDefault="00CA3E85" w:rsidP="00153679">
      <w:pPr>
        <w:pStyle w:val="Tretekstu"/>
        <w:jc w:val="center"/>
        <w:rPr>
          <w:rFonts w:ascii="Calibri" w:eastAsia="Calibri" w:hAnsi="Calibri"/>
          <w:b/>
          <w:sz w:val="44"/>
          <w:szCs w:val="44"/>
        </w:rPr>
      </w:pPr>
      <w:r>
        <w:rPr>
          <w:rFonts w:ascii="Calibri" w:eastAsia="Calibri" w:hAnsi="Calibri"/>
          <w:b/>
          <w:sz w:val="44"/>
          <w:szCs w:val="44"/>
        </w:rPr>
        <w:t>222 tys.</w:t>
      </w:r>
      <w:r w:rsidR="00C873BF">
        <w:rPr>
          <w:rFonts w:ascii="Calibri" w:eastAsia="Calibri" w:hAnsi="Calibri"/>
          <w:b/>
          <w:sz w:val="44"/>
          <w:szCs w:val="44"/>
        </w:rPr>
        <w:t xml:space="preserve"> mieszkań i domów w 2020 r. Nowy rekord cieszy. </w:t>
      </w:r>
      <w:r w:rsidR="00DA5E5B">
        <w:rPr>
          <w:rFonts w:ascii="Calibri" w:eastAsia="Calibri" w:hAnsi="Calibri"/>
          <w:b/>
          <w:sz w:val="44"/>
          <w:szCs w:val="44"/>
        </w:rPr>
        <w:t xml:space="preserve">Niepokoi </w:t>
      </w:r>
      <w:r w:rsidR="00C873BF">
        <w:rPr>
          <w:rFonts w:ascii="Calibri" w:eastAsia="Calibri" w:hAnsi="Calibri"/>
          <w:b/>
          <w:sz w:val="44"/>
          <w:szCs w:val="44"/>
        </w:rPr>
        <w:t>przyszłość</w:t>
      </w:r>
      <w:r w:rsidR="00153679">
        <w:rPr>
          <w:rFonts w:ascii="Calibri" w:eastAsia="Calibri" w:hAnsi="Calibri"/>
          <w:b/>
          <w:sz w:val="44"/>
          <w:szCs w:val="44"/>
        </w:rPr>
        <w:t xml:space="preserve"> mieszkaniówki</w:t>
      </w:r>
      <w:r w:rsidR="00C873BF">
        <w:rPr>
          <w:rFonts w:ascii="Calibri" w:eastAsia="Calibri" w:hAnsi="Calibri"/>
          <w:b/>
          <w:sz w:val="44"/>
          <w:szCs w:val="44"/>
        </w:rPr>
        <w:t>. Dlaczego?</w:t>
      </w:r>
      <w:r w:rsidR="00153679" w:rsidRPr="000F3171">
        <w:rPr>
          <w:rFonts w:ascii="Calibri" w:eastAsia="Calibri" w:hAnsi="Calibri" w:hint="eastAsia"/>
          <w:b/>
          <w:sz w:val="44"/>
          <w:szCs w:val="44"/>
        </w:rPr>
        <w:t xml:space="preserve"> </w:t>
      </w:r>
    </w:p>
    <w:p w14:paraId="3E10186F" w14:textId="77777777" w:rsidR="00153679" w:rsidRPr="007D2414" w:rsidRDefault="00153679" w:rsidP="00153679">
      <w:pPr>
        <w:pStyle w:val="Domylnie"/>
        <w:jc w:val="center"/>
      </w:pPr>
    </w:p>
    <w:p w14:paraId="7CEBCC3B" w14:textId="2D14B441" w:rsidR="00EF3EAC" w:rsidRPr="009F77F4" w:rsidRDefault="00C873BF" w:rsidP="00153679">
      <w:pPr>
        <w:rPr>
          <w:rFonts w:asciiTheme="minorHAnsi" w:hAnsiTheme="minorHAnsi" w:cstheme="minorHAnsi"/>
          <w:b/>
          <w:bCs/>
          <w:sz w:val="24"/>
          <w:szCs w:val="24"/>
          <w:lang w:val="pl-PL" w:eastAsia="pl-PL"/>
        </w:rPr>
      </w:pPr>
      <w:r w:rsidRPr="009F77F4">
        <w:rPr>
          <w:rFonts w:asciiTheme="minorHAnsi" w:hAnsiTheme="minorHAnsi" w:cstheme="minorHAnsi"/>
          <w:b/>
          <w:bCs/>
          <w:sz w:val="24"/>
          <w:szCs w:val="24"/>
          <w:lang w:val="pl-PL" w:eastAsia="pl-PL"/>
        </w:rPr>
        <w:t xml:space="preserve">W 2020 r. oddano do użytkowania </w:t>
      </w:r>
      <w:r w:rsidR="00CA3E85">
        <w:rPr>
          <w:rFonts w:asciiTheme="minorHAnsi" w:hAnsiTheme="minorHAnsi" w:cstheme="minorHAnsi"/>
          <w:b/>
          <w:bCs/>
          <w:sz w:val="24"/>
          <w:szCs w:val="24"/>
          <w:lang w:val="pl-PL" w:eastAsia="pl-PL"/>
        </w:rPr>
        <w:t>blisko 222 tys.</w:t>
      </w:r>
      <w:r w:rsidRPr="009F77F4">
        <w:rPr>
          <w:rFonts w:asciiTheme="minorHAnsi" w:hAnsiTheme="minorHAnsi" w:cstheme="minorHAnsi"/>
          <w:b/>
          <w:bCs/>
          <w:sz w:val="24"/>
          <w:szCs w:val="24"/>
          <w:lang w:val="pl-PL" w:eastAsia="pl-PL"/>
        </w:rPr>
        <w:t xml:space="preserve"> mieszkań i domów. To najlepszy wynik </w:t>
      </w:r>
      <w:r w:rsidR="00153679" w:rsidRPr="009F77F4">
        <w:rPr>
          <w:rFonts w:asciiTheme="minorHAnsi" w:hAnsiTheme="minorHAnsi" w:cstheme="minorHAnsi"/>
          <w:b/>
          <w:bCs/>
          <w:sz w:val="24"/>
          <w:szCs w:val="24"/>
          <w:lang w:eastAsia="pl-PL"/>
        </w:rPr>
        <w:t xml:space="preserve">od 40 lat. </w:t>
      </w:r>
      <w:r w:rsidR="00EF3EAC" w:rsidRPr="009F77F4">
        <w:rPr>
          <w:rFonts w:asciiTheme="minorHAnsi" w:hAnsiTheme="minorHAnsi" w:cstheme="minorHAnsi"/>
          <w:b/>
          <w:bCs/>
          <w:sz w:val="24"/>
          <w:szCs w:val="24"/>
          <w:lang w:val="pl-PL" w:eastAsia="pl-PL"/>
        </w:rPr>
        <w:t xml:space="preserve">Jednak czy </w:t>
      </w:r>
      <w:r w:rsidR="001D1D40">
        <w:rPr>
          <w:rFonts w:asciiTheme="minorHAnsi" w:hAnsiTheme="minorHAnsi" w:cstheme="minorHAnsi"/>
          <w:b/>
          <w:bCs/>
          <w:sz w:val="24"/>
          <w:szCs w:val="24"/>
          <w:lang w:val="pl-PL" w:eastAsia="pl-PL"/>
        </w:rPr>
        <w:t xml:space="preserve">utrzymujący się od sześciu lat silny </w:t>
      </w:r>
      <w:r w:rsidR="00EF3EAC" w:rsidRPr="009F77F4">
        <w:rPr>
          <w:rFonts w:asciiTheme="minorHAnsi" w:hAnsiTheme="minorHAnsi" w:cstheme="minorHAnsi"/>
          <w:b/>
          <w:bCs/>
          <w:sz w:val="24"/>
          <w:szCs w:val="24"/>
          <w:lang w:val="pl-PL" w:eastAsia="pl-PL"/>
        </w:rPr>
        <w:t>trend wzrostowy uda się utrzymać?</w:t>
      </w:r>
    </w:p>
    <w:p w14:paraId="0E532AD3" w14:textId="036A9C96" w:rsidR="00EF3EAC" w:rsidRPr="009F77F4" w:rsidRDefault="00EF3EAC" w:rsidP="00153679">
      <w:pPr>
        <w:rPr>
          <w:rFonts w:asciiTheme="minorHAnsi" w:hAnsiTheme="minorHAnsi" w:cstheme="minorHAnsi"/>
          <w:b/>
          <w:bCs/>
          <w:sz w:val="24"/>
          <w:szCs w:val="24"/>
          <w:lang w:val="pl-PL" w:eastAsia="pl-PL"/>
        </w:rPr>
      </w:pPr>
    </w:p>
    <w:p w14:paraId="7860DCD9" w14:textId="56A78763" w:rsidR="009F77F4" w:rsidRDefault="009F77F4" w:rsidP="009F77F4">
      <w:pPr>
        <w:rPr>
          <w:rFonts w:asciiTheme="minorHAnsi" w:hAnsiTheme="minorHAnsi" w:cstheme="minorHAnsi"/>
          <w:sz w:val="24"/>
          <w:szCs w:val="24"/>
          <w:lang w:val="pl-PL" w:eastAsia="pl-PL"/>
        </w:rPr>
      </w:pPr>
      <w:r>
        <w:rPr>
          <w:rFonts w:asciiTheme="minorHAnsi" w:hAnsiTheme="minorHAnsi" w:cstheme="minorHAnsi"/>
          <w:sz w:val="24"/>
          <w:szCs w:val="24"/>
          <w:lang w:val="pl-PL" w:eastAsia="pl-PL"/>
        </w:rPr>
        <w:t>Oddawanie do użytku ponad 200 tys. mieszkań rocznie</w:t>
      </w:r>
      <w:r w:rsidRPr="009F77F4">
        <w:rPr>
          <w:rFonts w:asciiTheme="minorHAnsi" w:hAnsiTheme="minorHAnsi" w:cstheme="minorHAnsi"/>
          <w:sz w:val="24"/>
          <w:szCs w:val="24"/>
          <w:lang w:val="pl-PL" w:eastAsia="pl-PL"/>
        </w:rPr>
        <w:t xml:space="preserve"> </w:t>
      </w:r>
      <w:r>
        <w:rPr>
          <w:rFonts w:asciiTheme="minorHAnsi" w:hAnsiTheme="minorHAnsi" w:cstheme="minorHAnsi"/>
          <w:sz w:val="24"/>
          <w:szCs w:val="24"/>
          <w:lang w:val="pl-PL" w:eastAsia="pl-PL"/>
        </w:rPr>
        <w:t>nie będzie już kojarzone wyłącznie z PRL, a ściślej  z epoką Edwarda Gierka w latach 70.  Wygląda bowiem na to, że t</w:t>
      </w:r>
      <w:r w:rsidRPr="009F77F4">
        <w:rPr>
          <w:rFonts w:asciiTheme="minorHAnsi" w:hAnsiTheme="minorHAnsi" w:cstheme="minorHAnsi"/>
          <w:sz w:val="24"/>
          <w:szCs w:val="24"/>
          <w:lang w:val="pl-PL" w:eastAsia="pl-PL"/>
        </w:rPr>
        <w:t xml:space="preserve">ak </w:t>
      </w:r>
      <w:r>
        <w:rPr>
          <w:rFonts w:asciiTheme="minorHAnsi" w:hAnsiTheme="minorHAnsi" w:cstheme="minorHAnsi"/>
          <w:sz w:val="24"/>
          <w:szCs w:val="24"/>
          <w:lang w:val="pl-PL" w:eastAsia="pl-PL"/>
        </w:rPr>
        <w:t xml:space="preserve">dobre wyniki budownictwa mieszkaniowego stają się standardem także w III RP. </w:t>
      </w:r>
      <w:r w:rsidR="001D1D40">
        <w:rPr>
          <w:rFonts w:asciiTheme="minorHAnsi" w:hAnsiTheme="minorHAnsi" w:cstheme="minorHAnsi"/>
          <w:sz w:val="24"/>
          <w:szCs w:val="24"/>
          <w:lang w:val="pl-PL" w:eastAsia="pl-PL"/>
        </w:rPr>
        <w:t xml:space="preserve">GUS poinformował właśnie, że w 2020 r. powstało </w:t>
      </w:r>
      <w:r w:rsidR="00CA3E85">
        <w:rPr>
          <w:rFonts w:asciiTheme="minorHAnsi" w:hAnsiTheme="minorHAnsi" w:cstheme="minorHAnsi"/>
          <w:sz w:val="24"/>
          <w:szCs w:val="24"/>
          <w:lang w:val="pl-PL" w:eastAsia="pl-PL"/>
        </w:rPr>
        <w:t>221 978</w:t>
      </w:r>
      <w:r w:rsidR="001D1D40">
        <w:rPr>
          <w:rFonts w:asciiTheme="minorHAnsi" w:hAnsiTheme="minorHAnsi" w:cstheme="minorHAnsi"/>
          <w:sz w:val="24"/>
          <w:szCs w:val="24"/>
          <w:lang w:val="pl-PL" w:eastAsia="pl-PL"/>
        </w:rPr>
        <w:t xml:space="preserve"> mieszkań, czyli najwięcej od 1980 r. </w:t>
      </w:r>
      <w:r>
        <w:rPr>
          <w:rFonts w:asciiTheme="minorHAnsi" w:hAnsiTheme="minorHAnsi" w:cstheme="minorHAnsi"/>
          <w:sz w:val="24"/>
          <w:szCs w:val="24"/>
          <w:lang w:val="pl-PL" w:eastAsia="pl-PL"/>
        </w:rPr>
        <w:t>Jednak wciąż czeka na pobicie rekord z 1978 r., kiedy GUS odnotował blisko 284 tys. nowych lokali.</w:t>
      </w:r>
    </w:p>
    <w:p w14:paraId="67721091" w14:textId="77777777" w:rsidR="009F77F4" w:rsidRDefault="009F77F4" w:rsidP="009F77F4">
      <w:pPr>
        <w:rPr>
          <w:rFonts w:asciiTheme="minorHAnsi" w:hAnsiTheme="minorHAnsi" w:cstheme="minorHAnsi"/>
          <w:sz w:val="24"/>
          <w:szCs w:val="24"/>
          <w:lang w:val="pl-PL" w:eastAsia="pl-PL"/>
        </w:rPr>
      </w:pPr>
    </w:p>
    <w:p w14:paraId="42CC2717" w14:textId="76D51E91" w:rsidR="00DA5E5B" w:rsidRPr="00530FBB" w:rsidRDefault="00530FBB" w:rsidP="009F77F4">
      <w:pPr>
        <w:rPr>
          <w:noProof/>
          <w:lang w:val="pl-PL"/>
        </w:rPr>
      </w:pPr>
      <w:r>
        <w:rPr>
          <w:noProof/>
        </w:rPr>
        <w:drawing>
          <wp:inline distT="0" distB="0" distL="0" distR="0" wp14:anchorId="020A58CF" wp14:editId="38C5C4D0">
            <wp:extent cx="6645910" cy="4715510"/>
            <wp:effectExtent l="0" t="0" r="254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4715510"/>
                    </a:xfrm>
                    <a:prstGeom prst="rect">
                      <a:avLst/>
                    </a:prstGeom>
                    <a:noFill/>
                    <a:ln>
                      <a:noFill/>
                    </a:ln>
                  </pic:spPr>
                </pic:pic>
              </a:graphicData>
            </a:graphic>
          </wp:inline>
        </w:drawing>
      </w:r>
    </w:p>
    <w:p w14:paraId="2C05CAC2" w14:textId="5EC83CAA" w:rsidR="009F77F4" w:rsidRDefault="009F77F4" w:rsidP="009F77F4">
      <w:pPr>
        <w:rPr>
          <w:rFonts w:asciiTheme="minorHAnsi" w:hAnsiTheme="minorHAnsi" w:cstheme="minorHAnsi"/>
          <w:sz w:val="24"/>
          <w:szCs w:val="24"/>
          <w:lang w:val="pl-PL" w:eastAsia="pl-PL"/>
        </w:rPr>
      </w:pPr>
      <w:r>
        <w:rPr>
          <w:rFonts w:asciiTheme="minorHAnsi" w:hAnsiTheme="minorHAnsi" w:cstheme="minorHAnsi"/>
          <w:sz w:val="24"/>
          <w:szCs w:val="24"/>
          <w:lang w:val="pl-PL" w:eastAsia="pl-PL"/>
        </w:rPr>
        <w:t xml:space="preserve"> </w:t>
      </w:r>
    </w:p>
    <w:p w14:paraId="61FEEEF0" w14:textId="77777777" w:rsidR="001D1D40" w:rsidRDefault="001D1D40" w:rsidP="009F77F4">
      <w:pPr>
        <w:rPr>
          <w:rFonts w:asciiTheme="minorHAnsi" w:hAnsiTheme="minorHAnsi" w:cstheme="minorHAnsi"/>
          <w:sz w:val="24"/>
          <w:szCs w:val="24"/>
          <w:lang w:val="pl-PL" w:eastAsia="pl-PL"/>
        </w:rPr>
      </w:pPr>
    </w:p>
    <w:p w14:paraId="134CDBCB" w14:textId="4FABDA14" w:rsidR="009F77F4" w:rsidRDefault="00F04031" w:rsidP="009F77F4">
      <w:pPr>
        <w:rPr>
          <w:rFonts w:asciiTheme="minorHAnsi" w:hAnsiTheme="minorHAnsi" w:cstheme="minorHAnsi"/>
          <w:sz w:val="24"/>
          <w:szCs w:val="24"/>
          <w:lang w:val="pl-PL" w:eastAsia="pl-PL"/>
        </w:rPr>
      </w:pPr>
      <w:r>
        <w:rPr>
          <w:rFonts w:asciiTheme="minorHAnsi" w:hAnsiTheme="minorHAnsi" w:cstheme="minorHAnsi"/>
          <w:sz w:val="24"/>
          <w:szCs w:val="24"/>
          <w:lang w:val="pl-PL" w:eastAsia="pl-PL"/>
        </w:rPr>
        <w:t>N</w:t>
      </w:r>
      <w:r w:rsidR="00400062">
        <w:rPr>
          <w:rFonts w:asciiTheme="minorHAnsi" w:hAnsiTheme="minorHAnsi" w:cstheme="minorHAnsi"/>
          <w:sz w:val="24"/>
          <w:szCs w:val="24"/>
          <w:lang w:val="pl-PL" w:eastAsia="pl-PL"/>
        </w:rPr>
        <w:t xml:space="preserve">ie nastąpi </w:t>
      </w:r>
      <w:r w:rsidR="00E67CEF">
        <w:rPr>
          <w:rFonts w:asciiTheme="minorHAnsi" w:hAnsiTheme="minorHAnsi" w:cstheme="minorHAnsi"/>
          <w:sz w:val="24"/>
          <w:szCs w:val="24"/>
          <w:lang w:val="pl-PL" w:eastAsia="pl-PL"/>
        </w:rPr>
        <w:t xml:space="preserve">to </w:t>
      </w:r>
      <w:r w:rsidR="001D1D40">
        <w:rPr>
          <w:rFonts w:asciiTheme="minorHAnsi" w:hAnsiTheme="minorHAnsi" w:cstheme="minorHAnsi"/>
          <w:sz w:val="24"/>
          <w:szCs w:val="24"/>
          <w:lang w:val="pl-PL" w:eastAsia="pl-PL"/>
        </w:rPr>
        <w:t>już w 2021 r.</w:t>
      </w:r>
      <w:r w:rsidR="00400062">
        <w:rPr>
          <w:rFonts w:asciiTheme="minorHAnsi" w:hAnsiTheme="minorHAnsi" w:cstheme="minorHAnsi"/>
          <w:sz w:val="24"/>
          <w:szCs w:val="24"/>
          <w:lang w:val="pl-PL" w:eastAsia="pl-PL"/>
        </w:rPr>
        <w:t xml:space="preserve"> Wynika to z danych o rozpoczętych mieszkaniach. Wprawdzie od 2014 r. ich liczba systematycznie rosła, ale </w:t>
      </w:r>
      <w:r w:rsidR="004C17A2">
        <w:rPr>
          <w:rFonts w:asciiTheme="minorHAnsi" w:hAnsiTheme="minorHAnsi" w:cstheme="minorHAnsi"/>
          <w:sz w:val="24"/>
          <w:szCs w:val="24"/>
          <w:lang w:val="pl-PL" w:eastAsia="pl-PL"/>
        </w:rPr>
        <w:t xml:space="preserve">jeszcze </w:t>
      </w:r>
      <w:r w:rsidR="00400062">
        <w:rPr>
          <w:rFonts w:asciiTheme="minorHAnsi" w:hAnsiTheme="minorHAnsi" w:cstheme="minorHAnsi"/>
          <w:sz w:val="24"/>
          <w:szCs w:val="24"/>
          <w:lang w:val="pl-PL" w:eastAsia="pl-PL"/>
        </w:rPr>
        <w:t xml:space="preserve">nie na tyle, aby możliwe było powtórzenie wyników z drugiej połowy lat 70.  </w:t>
      </w:r>
    </w:p>
    <w:p w14:paraId="61BDC12C" w14:textId="47A88F46" w:rsidR="004C17A2" w:rsidRDefault="004C17A2" w:rsidP="009F77F4">
      <w:pPr>
        <w:rPr>
          <w:rFonts w:asciiTheme="minorHAnsi" w:hAnsiTheme="minorHAnsi" w:cstheme="minorHAnsi"/>
          <w:sz w:val="24"/>
          <w:szCs w:val="24"/>
          <w:lang w:val="pl-PL" w:eastAsia="pl-PL"/>
        </w:rPr>
      </w:pPr>
    </w:p>
    <w:p w14:paraId="288D458D" w14:textId="246C0787" w:rsidR="004C17A2" w:rsidRDefault="00530FBB" w:rsidP="009F77F4">
      <w:pPr>
        <w:rPr>
          <w:noProof/>
        </w:rPr>
      </w:pPr>
      <w:r>
        <w:rPr>
          <w:noProof/>
        </w:rPr>
        <w:lastRenderedPageBreak/>
        <w:drawing>
          <wp:inline distT="0" distB="0" distL="0" distR="0" wp14:anchorId="05552BB9" wp14:editId="6320B40A">
            <wp:extent cx="6645910" cy="4693920"/>
            <wp:effectExtent l="0" t="0" r="254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693920"/>
                    </a:xfrm>
                    <a:prstGeom prst="rect">
                      <a:avLst/>
                    </a:prstGeom>
                    <a:noFill/>
                    <a:ln>
                      <a:noFill/>
                    </a:ln>
                  </pic:spPr>
                </pic:pic>
              </a:graphicData>
            </a:graphic>
          </wp:inline>
        </w:drawing>
      </w:r>
    </w:p>
    <w:p w14:paraId="1DC3B5DE" w14:textId="77777777" w:rsidR="00DA5E5B" w:rsidRPr="009F77F4" w:rsidRDefault="00DA5E5B" w:rsidP="009F77F4">
      <w:pPr>
        <w:rPr>
          <w:rFonts w:asciiTheme="minorHAnsi" w:hAnsiTheme="minorHAnsi" w:cstheme="minorHAnsi"/>
          <w:sz w:val="24"/>
          <w:szCs w:val="24"/>
          <w:lang w:val="pl-PL" w:eastAsia="pl-PL"/>
        </w:rPr>
      </w:pPr>
    </w:p>
    <w:p w14:paraId="490B514D" w14:textId="228A9284" w:rsidR="00EF3EAC" w:rsidRDefault="004C17A2" w:rsidP="009F77F4">
      <w:pPr>
        <w:rPr>
          <w:rFonts w:asciiTheme="minorHAnsi" w:hAnsiTheme="minorHAnsi" w:cstheme="minorHAnsi"/>
          <w:sz w:val="24"/>
          <w:szCs w:val="24"/>
          <w:lang w:val="pl-PL" w:eastAsia="pl-PL"/>
        </w:rPr>
      </w:pPr>
      <w:r>
        <w:rPr>
          <w:rFonts w:asciiTheme="minorHAnsi" w:hAnsiTheme="minorHAnsi" w:cstheme="minorHAnsi"/>
          <w:sz w:val="24"/>
          <w:szCs w:val="24"/>
          <w:lang w:val="pl-PL" w:eastAsia="pl-PL"/>
        </w:rPr>
        <w:t>Co gorsza, GUS wskazuje na spadek liczby r</w:t>
      </w:r>
      <w:r w:rsidR="00A5325C">
        <w:rPr>
          <w:rFonts w:asciiTheme="minorHAnsi" w:hAnsiTheme="minorHAnsi" w:cstheme="minorHAnsi"/>
          <w:sz w:val="24"/>
          <w:szCs w:val="24"/>
          <w:lang w:val="pl-PL" w:eastAsia="pl-PL"/>
        </w:rPr>
        <w:t xml:space="preserve">ozpoczętych mieszkań w 2020 r., co nie wróży dobrze na przyszłość. Z drugiej strony trzeba mieć na uwadze, że pandemia COVID-19 mocno zaburzyła harmonogramy wielu inwestycji. Szczególnie widać to </w:t>
      </w:r>
      <w:r w:rsidR="00F04031">
        <w:rPr>
          <w:rFonts w:asciiTheme="minorHAnsi" w:hAnsiTheme="minorHAnsi" w:cstheme="minorHAnsi"/>
          <w:sz w:val="24"/>
          <w:szCs w:val="24"/>
          <w:lang w:val="pl-PL" w:eastAsia="pl-PL"/>
        </w:rPr>
        <w:t>w budownictwie deweloperskim.</w:t>
      </w:r>
    </w:p>
    <w:p w14:paraId="069D6B25" w14:textId="78A7E209" w:rsidR="00F04031" w:rsidRDefault="00F04031" w:rsidP="009F77F4">
      <w:pPr>
        <w:rPr>
          <w:rFonts w:asciiTheme="minorHAnsi" w:hAnsiTheme="minorHAnsi" w:cstheme="minorHAnsi"/>
          <w:sz w:val="24"/>
          <w:szCs w:val="24"/>
          <w:lang w:val="pl-PL" w:eastAsia="pl-PL"/>
        </w:rPr>
      </w:pPr>
    </w:p>
    <w:p w14:paraId="5B975D84" w14:textId="2BA72413" w:rsidR="00530FBB" w:rsidRDefault="00530FBB" w:rsidP="009F77F4">
      <w:pPr>
        <w:rPr>
          <w:rFonts w:asciiTheme="minorHAnsi" w:hAnsiTheme="minorHAnsi" w:cstheme="minorHAnsi"/>
          <w:sz w:val="24"/>
          <w:szCs w:val="24"/>
          <w:lang w:val="pl-PL" w:eastAsia="pl-PL"/>
        </w:rPr>
      </w:pPr>
      <w:r>
        <w:rPr>
          <w:noProof/>
        </w:rPr>
        <w:lastRenderedPageBreak/>
        <w:drawing>
          <wp:inline distT="0" distB="0" distL="0" distR="0" wp14:anchorId="4A9164C6" wp14:editId="34D0B1D6">
            <wp:extent cx="6645910" cy="4711700"/>
            <wp:effectExtent l="0" t="0" r="254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4711700"/>
                    </a:xfrm>
                    <a:prstGeom prst="rect">
                      <a:avLst/>
                    </a:prstGeom>
                    <a:noFill/>
                    <a:ln>
                      <a:noFill/>
                    </a:ln>
                  </pic:spPr>
                </pic:pic>
              </a:graphicData>
            </a:graphic>
          </wp:inline>
        </w:drawing>
      </w:r>
    </w:p>
    <w:p w14:paraId="7A3FCE83" w14:textId="76067DC8" w:rsidR="00F04031" w:rsidRDefault="00F04031" w:rsidP="009F77F4">
      <w:pPr>
        <w:rPr>
          <w:rFonts w:asciiTheme="minorHAnsi" w:hAnsiTheme="minorHAnsi" w:cstheme="minorHAnsi"/>
          <w:sz w:val="24"/>
          <w:szCs w:val="24"/>
          <w:lang w:val="pl-PL" w:eastAsia="pl-PL"/>
        </w:rPr>
      </w:pPr>
    </w:p>
    <w:p w14:paraId="49671890" w14:textId="05BCD9CF" w:rsidR="00042E97" w:rsidRDefault="00A5325C" w:rsidP="00A5325C">
      <w:pPr>
        <w:rPr>
          <w:rFonts w:asciiTheme="minorHAnsi" w:hAnsiTheme="minorHAnsi" w:cstheme="minorHAnsi"/>
          <w:sz w:val="24"/>
          <w:szCs w:val="24"/>
          <w:lang w:eastAsia="pl-PL"/>
        </w:rPr>
      </w:pPr>
      <w:r w:rsidRPr="00A5325C">
        <w:rPr>
          <w:rFonts w:asciiTheme="minorHAnsi" w:hAnsiTheme="minorHAnsi" w:cstheme="minorHAnsi"/>
          <w:sz w:val="24"/>
          <w:szCs w:val="24"/>
          <w:lang w:eastAsia="pl-PL"/>
        </w:rPr>
        <w:t xml:space="preserve">W kwietniu i maju deweloperzy zareagowali ograniczeniem inwestycji. Jednak w czerwcu znów włączyli wyższy bieg. </w:t>
      </w:r>
      <w:r w:rsidR="00F04031">
        <w:rPr>
          <w:rFonts w:asciiTheme="minorHAnsi" w:hAnsiTheme="minorHAnsi" w:cstheme="minorHAnsi"/>
          <w:sz w:val="24"/>
          <w:szCs w:val="24"/>
          <w:lang w:val="pl-PL" w:eastAsia="pl-PL"/>
        </w:rPr>
        <w:t xml:space="preserve">We wrześniu </w:t>
      </w:r>
      <w:r w:rsidRPr="00A5325C">
        <w:rPr>
          <w:rFonts w:asciiTheme="minorHAnsi" w:hAnsiTheme="minorHAnsi" w:cstheme="minorHAnsi"/>
          <w:sz w:val="24"/>
          <w:szCs w:val="24"/>
          <w:lang w:eastAsia="pl-PL"/>
        </w:rPr>
        <w:t xml:space="preserve">zaczęli budowę </w:t>
      </w:r>
      <w:r w:rsidR="00042E97">
        <w:rPr>
          <w:rFonts w:asciiTheme="minorHAnsi" w:hAnsiTheme="minorHAnsi" w:cstheme="minorHAnsi"/>
          <w:sz w:val="24"/>
          <w:szCs w:val="24"/>
          <w:lang w:val="pl-PL" w:eastAsia="pl-PL"/>
        </w:rPr>
        <w:t>przeszło 17</w:t>
      </w:r>
      <w:r w:rsidRPr="00A5325C">
        <w:rPr>
          <w:rFonts w:asciiTheme="minorHAnsi" w:hAnsiTheme="minorHAnsi" w:cstheme="minorHAnsi"/>
          <w:sz w:val="24"/>
          <w:szCs w:val="24"/>
          <w:lang w:eastAsia="pl-PL"/>
        </w:rPr>
        <w:t xml:space="preserve"> tys. mieszkań, czyli o </w:t>
      </w:r>
      <w:r w:rsidR="00042E97">
        <w:rPr>
          <w:rFonts w:asciiTheme="minorHAnsi" w:hAnsiTheme="minorHAnsi" w:cstheme="minorHAnsi"/>
          <w:sz w:val="24"/>
          <w:szCs w:val="24"/>
          <w:lang w:val="pl-PL" w:eastAsia="pl-PL"/>
        </w:rPr>
        <w:t>ponad jedną trzecią w</w:t>
      </w:r>
      <w:r w:rsidRPr="00A5325C">
        <w:rPr>
          <w:rFonts w:asciiTheme="minorHAnsi" w:hAnsiTheme="minorHAnsi" w:cstheme="minorHAnsi"/>
          <w:sz w:val="24"/>
          <w:szCs w:val="24"/>
          <w:lang w:eastAsia="pl-PL"/>
        </w:rPr>
        <w:t xml:space="preserve">ięcej niż </w:t>
      </w:r>
      <w:r w:rsidR="00042E97">
        <w:rPr>
          <w:rFonts w:asciiTheme="minorHAnsi" w:hAnsiTheme="minorHAnsi" w:cstheme="minorHAnsi"/>
          <w:sz w:val="24"/>
          <w:szCs w:val="24"/>
          <w:lang w:val="pl-PL" w:eastAsia="pl-PL"/>
        </w:rPr>
        <w:t>w analogicznym okresie rok wcześniej</w:t>
      </w:r>
      <w:r w:rsidRPr="00A5325C">
        <w:rPr>
          <w:rFonts w:asciiTheme="minorHAnsi" w:hAnsiTheme="minorHAnsi" w:cstheme="minorHAnsi"/>
          <w:sz w:val="24"/>
          <w:szCs w:val="24"/>
          <w:lang w:eastAsia="pl-PL"/>
        </w:rPr>
        <w:t xml:space="preserve">.  Mimo to ten rok </w:t>
      </w:r>
      <w:r w:rsidR="00042E97">
        <w:rPr>
          <w:rFonts w:asciiTheme="minorHAnsi" w:hAnsiTheme="minorHAnsi" w:cstheme="minorHAnsi"/>
          <w:sz w:val="24"/>
          <w:szCs w:val="24"/>
          <w:lang w:val="pl-PL" w:eastAsia="pl-PL"/>
        </w:rPr>
        <w:t xml:space="preserve">deweloperzy </w:t>
      </w:r>
      <w:r w:rsidRPr="00A5325C">
        <w:rPr>
          <w:rFonts w:asciiTheme="minorHAnsi" w:hAnsiTheme="minorHAnsi" w:cstheme="minorHAnsi"/>
          <w:sz w:val="24"/>
          <w:szCs w:val="24"/>
          <w:lang w:eastAsia="pl-PL"/>
        </w:rPr>
        <w:t>zakończ</w:t>
      </w:r>
      <w:proofErr w:type="spellStart"/>
      <w:r w:rsidR="00042E97">
        <w:rPr>
          <w:rFonts w:asciiTheme="minorHAnsi" w:hAnsiTheme="minorHAnsi" w:cstheme="minorHAnsi"/>
          <w:sz w:val="24"/>
          <w:szCs w:val="24"/>
          <w:lang w:val="pl-PL" w:eastAsia="pl-PL"/>
        </w:rPr>
        <w:t>yli</w:t>
      </w:r>
      <w:proofErr w:type="spellEnd"/>
      <w:r w:rsidRPr="00A5325C">
        <w:rPr>
          <w:rFonts w:asciiTheme="minorHAnsi" w:hAnsiTheme="minorHAnsi" w:cstheme="minorHAnsi"/>
          <w:sz w:val="24"/>
          <w:szCs w:val="24"/>
          <w:lang w:eastAsia="pl-PL"/>
        </w:rPr>
        <w:t xml:space="preserve"> na minusie. GUS podał, że w </w:t>
      </w:r>
      <w:r w:rsidR="00042E97">
        <w:rPr>
          <w:rFonts w:asciiTheme="minorHAnsi" w:hAnsiTheme="minorHAnsi" w:cstheme="minorHAnsi"/>
          <w:sz w:val="24"/>
          <w:szCs w:val="24"/>
          <w:lang w:val="pl-PL" w:eastAsia="pl-PL"/>
        </w:rPr>
        <w:t xml:space="preserve">całym </w:t>
      </w:r>
      <w:r w:rsidRPr="00A5325C">
        <w:rPr>
          <w:rFonts w:asciiTheme="minorHAnsi" w:hAnsiTheme="minorHAnsi" w:cstheme="minorHAnsi"/>
          <w:sz w:val="24"/>
          <w:szCs w:val="24"/>
          <w:lang w:eastAsia="pl-PL"/>
        </w:rPr>
        <w:t xml:space="preserve">2020 r. zaczęli budowę ok. </w:t>
      </w:r>
      <w:r w:rsidR="00530FBB">
        <w:rPr>
          <w:rFonts w:asciiTheme="minorHAnsi" w:hAnsiTheme="minorHAnsi" w:cstheme="minorHAnsi"/>
          <w:sz w:val="24"/>
          <w:szCs w:val="24"/>
          <w:lang w:val="pl-PL" w:eastAsia="pl-PL"/>
        </w:rPr>
        <w:t xml:space="preserve">130,2 </w:t>
      </w:r>
      <w:r w:rsidRPr="00A5325C">
        <w:rPr>
          <w:rFonts w:asciiTheme="minorHAnsi" w:hAnsiTheme="minorHAnsi" w:cstheme="minorHAnsi"/>
          <w:sz w:val="24"/>
          <w:szCs w:val="24"/>
          <w:lang w:eastAsia="pl-PL"/>
        </w:rPr>
        <w:t xml:space="preserve">tys. mieszkań, co jest wynikiem o </w:t>
      </w:r>
      <w:r w:rsidR="00530FBB">
        <w:rPr>
          <w:rFonts w:asciiTheme="minorHAnsi" w:hAnsiTheme="minorHAnsi" w:cstheme="minorHAnsi"/>
          <w:sz w:val="24"/>
          <w:szCs w:val="24"/>
          <w:lang w:val="pl-PL" w:eastAsia="pl-PL"/>
        </w:rPr>
        <w:t>8,3</w:t>
      </w:r>
      <w:r w:rsidR="00042E97">
        <w:rPr>
          <w:rFonts w:asciiTheme="minorHAnsi" w:hAnsiTheme="minorHAnsi" w:cstheme="minorHAnsi"/>
          <w:sz w:val="24"/>
          <w:szCs w:val="24"/>
          <w:lang w:val="pl-PL" w:eastAsia="pl-PL"/>
        </w:rPr>
        <w:t>%</w:t>
      </w:r>
      <w:r w:rsidRPr="00A5325C">
        <w:rPr>
          <w:rFonts w:asciiTheme="minorHAnsi" w:hAnsiTheme="minorHAnsi" w:cstheme="minorHAnsi"/>
          <w:sz w:val="24"/>
          <w:szCs w:val="24"/>
          <w:lang w:eastAsia="pl-PL"/>
        </w:rPr>
        <w:t xml:space="preserve"> słabszym </w:t>
      </w:r>
      <w:r w:rsidR="00042E97">
        <w:rPr>
          <w:rFonts w:asciiTheme="minorHAnsi" w:hAnsiTheme="minorHAnsi" w:cstheme="minorHAnsi"/>
          <w:sz w:val="24"/>
          <w:szCs w:val="24"/>
          <w:lang w:val="pl-PL" w:eastAsia="pl-PL"/>
        </w:rPr>
        <w:t>niż 2019 r.</w:t>
      </w:r>
      <w:r w:rsidRPr="00A5325C">
        <w:rPr>
          <w:rFonts w:asciiTheme="minorHAnsi" w:hAnsiTheme="minorHAnsi" w:cstheme="minorHAnsi"/>
          <w:sz w:val="24"/>
          <w:szCs w:val="24"/>
          <w:lang w:eastAsia="pl-PL"/>
        </w:rPr>
        <w:t xml:space="preserve"> </w:t>
      </w:r>
    </w:p>
    <w:p w14:paraId="1F88D026" w14:textId="77777777" w:rsidR="00042E97" w:rsidRDefault="00042E97" w:rsidP="00A5325C">
      <w:pPr>
        <w:rPr>
          <w:rFonts w:asciiTheme="minorHAnsi" w:hAnsiTheme="minorHAnsi" w:cstheme="minorHAnsi"/>
          <w:sz w:val="24"/>
          <w:szCs w:val="24"/>
          <w:lang w:eastAsia="pl-PL"/>
        </w:rPr>
      </w:pPr>
    </w:p>
    <w:p w14:paraId="3750B1D6" w14:textId="21B81E7F" w:rsidR="00042E97" w:rsidRPr="00042E97" w:rsidRDefault="00042E97" w:rsidP="00A5325C">
      <w:pPr>
        <w:rPr>
          <w:rFonts w:asciiTheme="minorHAnsi" w:hAnsiTheme="minorHAnsi" w:cstheme="minorHAnsi"/>
          <w:sz w:val="24"/>
          <w:szCs w:val="24"/>
          <w:lang w:val="pl-PL" w:eastAsia="pl-PL"/>
        </w:rPr>
      </w:pPr>
      <w:r>
        <w:rPr>
          <w:rFonts w:asciiTheme="minorHAnsi" w:hAnsiTheme="minorHAnsi" w:cstheme="minorHAnsi"/>
          <w:sz w:val="24"/>
          <w:szCs w:val="24"/>
          <w:lang w:val="pl-PL" w:eastAsia="pl-PL"/>
        </w:rPr>
        <w:t>Stabilizacji można się natomiast spodziewać w budownictwie jednorodzinnym. Inwestorzy indywidualni rozpoczęli bowiem budowę takiej samej liczby mieszkań jak rok wcześniej, czyli</w:t>
      </w:r>
      <w:r w:rsidR="00530FBB">
        <w:rPr>
          <w:rFonts w:asciiTheme="minorHAnsi" w:hAnsiTheme="minorHAnsi" w:cstheme="minorHAnsi"/>
          <w:sz w:val="24"/>
          <w:szCs w:val="24"/>
          <w:lang w:val="pl-PL" w:eastAsia="pl-PL"/>
        </w:rPr>
        <w:t xml:space="preserve"> 90,3 tys.</w:t>
      </w:r>
      <w:r>
        <w:rPr>
          <w:rFonts w:asciiTheme="minorHAnsi" w:hAnsiTheme="minorHAnsi" w:cstheme="minorHAnsi"/>
          <w:sz w:val="24"/>
          <w:szCs w:val="24"/>
          <w:lang w:val="pl-PL" w:eastAsia="pl-PL"/>
        </w:rPr>
        <w:t xml:space="preserve"> </w:t>
      </w:r>
    </w:p>
    <w:p w14:paraId="4665A099" w14:textId="5264C52C" w:rsidR="001D1D40" w:rsidRPr="00042E97" w:rsidRDefault="00042E97" w:rsidP="00042E97">
      <w:pPr>
        <w:rPr>
          <w:rFonts w:asciiTheme="minorHAnsi" w:hAnsiTheme="minorHAnsi" w:cstheme="minorHAnsi"/>
          <w:sz w:val="24"/>
          <w:szCs w:val="24"/>
          <w:lang w:val="pl-PL" w:eastAsia="pl-PL"/>
        </w:rPr>
      </w:pPr>
      <w:r>
        <w:rPr>
          <w:rFonts w:asciiTheme="minorHAnsi" w:hAnsiTheme="minorHAnsi" w:cstheme="minorHAnsi"/>
          <w:sz w:val="24"/>
          <w:szCs w:val="24"/>
          <w:lang w:val="pl-PL" w:eastAsia="pl-PL"/>
        </w:rPr>
        <w:t xml:space="preserve">Lekkim optymizmem mogą jednak napawać dane GUS w pozwoleniach na budowę. W </w:t>
      </w:r>
      <w:r w:rsidRPr="00042E97">
        <w:rPr>
          <w:rFonts w:asciiTheme="minorHAnsi" w:hAnsiTheme="minorHAnsi" w:cstheme="minorHAnsi"/>
          <w:sz w:val="24"/>
          <w:szCs w:val="24"/>
        </w:rPr>
        <w:t xml:space="preserve">2020 r. wydano pozwolenia lub dokonano zgłoszenia budowy </w:t>
      </w:r>
      <w:r w:rsidR="00530FBB">
        <w:rPr>
          <w:rFonts w:asciiTheme="minorHAnsi" w:hAnsiTheme="minorHAnsi" w:cstheme="minorHAnsi"/>
          <w:sz w:val="24"/>
          <w:szCs w:val="24"/>
          <w:lang w:val="pl-PL"/>
        </w:rPr>
        <w:t>101,6</w:t>
      </w:r>
      <w:r w:rsidRPr="00042E97">
        <w:rPr>
          <w:rFonts w:asciiTheme="minorHAnsi" w:hAnsiTheme="minorHAnsi" w:cstheme="minorHAnsi"/>
          <w:sz w:val="24"/>
          <w:szCs w:val="24"/>
        </w:rPr>
        <w:t xml:space="preserve"> tys. </w:t>
      </w:r>
      <w:r>
        <w:rPr>
          <w:rFonts w:asciiTheme="minorHAnsi" w:hAnsiTheme="minorHAnsi" w:cstheme="minorHAnsi"/>
          <w:sz w:val="24"/>
          <w:szCs w:val="24"/>
          <w:lang w:val="pl-PL"/>
        </w:rPr>
        <w:t>m</w:t>
      </w:r>
      <w:r w:rsidRPr="00042E97">
        <w:rPr>
          <w:rFonts w:asciiTheme="minorHAnsi" w:hAnsiTheme="minorHAnsi" w:cstheme="minorHAnsi"/>
          <w:sz w:val="24"/>
          <w:szCs w:val="24"/>
        </w:rPr>
        <w:t>ieszkań</w:t>
      </w:r>
      <w:r>
        <w:rPr>
          <w:rFonts w:asciiTheme="minorHAnsi" w:hAnsiTheme="minorHAnsi" w:cstheme="minorHAnsi"/>
          <w:sz w:val="24"/>
          <w:szCs w:val="24"/>
          <w:lang w:val="pl-PL"/>
        </w:rPr>
        <w:t xml:space="preserve"> w budownictwie indywidualnym. Jest to wynik </w:t>
      </w:r>
      <w:r w:rsidRPr="00042E97">
        <w:rPr>
          <w:rFonts w:asciiTheme="minorHAnsi" w:hAnsiTheme="minorHAnsi" w:cstheme="minorHAnsi"/>
          <w:sz w:val="24"/>
          <w:szCs w:val="24"/>
        </w:rPr>
        <w:t xml:space="preserve">o </w:t>
      </w:r>
      <w:r w:rsidR="00530FBB">
        <w:rPr>
          <w:rFonts w:asciiTheme="minorHAnsi" w:hAnsiTheme="minorHAnsi" w:cstheme="minorHAnsi"/>
          <w:sz w:val="24"/>
          <w:szCs w:val="24"/>
          <w:lang w:val="pl-PL"/>
        </w:rPr>
        <w:t>5</w:t>
      </w:r>
      <w:r w:rsidRPr="00042E97">
        <w:rPr>
          <w:rFonts w:asciiTheme="minorHAnsi" w:hAnsiTheme="minorHAnsi" w:cstheme="minorHAnsi"/>
          <w:sz w:val="24"/>
          <w:szCs w:val="24"/>
        </w:rPr>
        <w:t xml:space="preserve">% </w:t>
      </w:r>
      <w:r>
        <w:rPr>
          <w:rFonts w:asciiTheme="minorHAnsi" w:hAnsiTheme="minorHAnsi" w:cstheme="minorHAnsi"/>
          <w:sz w:val="24"/>
          <w:szCs w:val="24"/>
          <w:lang w:val="pl-PL"/>
        </w:rPr>
        <w:t xml:space="preserve">lepszy </w:t>
      </w:r>
      <w:r w:rsidRPr="00042E97">
        <w:rPr>
          <w:rFonts w:asciiTheme="minorHAnsi" w:hAnsiTheme="minorHAnsi" w:cstheme="minorHAnsi"/>
          <w:sz w:val="24"/>
          <w:szCs w:val="24"/>
        </w:rPr>
        <w:t xml:space="preserve">niż </w:t>
      </w:r>
      <w:r>
        <w:rPr>
          <w:rFonts w:asciiTheme="minorHAnsi" w:hAnsiTheme="minorHAnsi" w:cstheme="minorHAnsi"/>
          <w:sz w:val="24"/>
          <w:szCs w:val="24"/>
          <w:lang w:val="pl-PL"/>
        </w:rPr>
        <w:t>w 2019 r.</w:t>
      </w:r>
    </w:p>
    <w:p w14:paraId="73DDCD67" w14:textId="77777777" w:rsidR="00042E97" w:rsidRDefault="00042E97" w:rsidP="00042E97">
      <w:pPr>
        <w:rPr>
          <w:rFonts w:asciiTheme="minorHAnsi" w:hAnsiTheme="minorHAnsi" w:cstheme="minorHAnsi"/>
          <w:sz w:val="24"/>
          <w:szCs w:val="24"/>
          <w:lang w:eastAsia="pl-PL"/>
        </w:rPr>
      </w:pPr>
    </w:p>
    <w:p w14:paraId="2386CDBF" w14:textId="2CDC6C65" w:rsidR="00042E97" w:rsidRDefault="00042E97" w:rsidP="00042E97">
      <w:pPr>
        <w:rPr>
          <w:rFonts w:asciiTheme="minorHAnsi" w:hAnsiTheme="minorHAnsi" w:cstheme="minorHAnsi"/>
          <w:sz w:val="24"/>
          <w:szCs w:val="24"/>
          <w:shd w:val="clear" w:color="auto" w:fill="FFFFFF"/>
          <w:lang w:val="pl-PL"/>
        </w:rPr>
      </w:pPr>
      <w:r>
        <w:rPr>
          <w:rFonts w:asciiTheme="minorHAnsi" w:hAnsiTheme="minorHAnsi" w:cstheme="minorHAnsi"/>
          <w:sz w:val="24"/>
          <w:szCs w:val="24"/>
          <w:lang w:val="pl-PL" w:eastAsia="pl-PL"/>
        </w:rPr>
        <w:t>Niestety w</w:t>
      </w:r>
      <w:r w:rsidR="00153679" w:rsidRPr="00042E97">
        <w:rPr>
          <w:rFonts w:asciiTheme="minorHAnsi" w:hAnsiTheme="minorHAnsi" w:cstheme="minorHAnsi"/>
          <w:sz w:val="24"/>
          <w:szCs w:val="24"/>
          <w:lang w:eastAsia="pl-PL"/>
        </w:rPr>
        <w:t xml:space="preserve"> </w:t>
      </w:r>
      <w:r>
        <w:rPr>
          <w:rFonts w:asciiTheme="minorHAnsi" w:hAnsiTheme="minorHAnsi" w:cstheme="minorHAnsi"/>
          <w:sz w:val="24"/>
          <w:szCs w:val="24"/>
          <w:lang w:val="pl-PL" w:eastAsia="pl-PL"/>
        </w:rPr>
        <w:t xml:space="preserve">najbliższych </w:t>
      </w:r>
      <w:r w:rsidR="00153679" w:rsidRPr="00042E97">
        <w:rPr>
          <w:rFonts w:asciiTheme="minorHAnsi" w:hAnsiTheme="minorHAnsi" w:cstheme="minorHAnsi"/>
          <w:sz w:val="24"/>
          <w:szCs w:val="24"/>
          <w:lang w:eastAsia="pl-PL"/>
        </w:rPr>
        <w:t>lata</w:t>
      </w:r>
      <w:proofErr w:type="spellStart"/>
      <w:r>
        <w:rPr>
          <w:rFonts w:asciiTheme="minorHAnsi" w:hAnsiTheme="minorHAnsi" w:cstheme="minorHAnsi"/>
          <w:sz w:val="24"/>
          <w:szCs w:val="24"/>
          <w:lang w:val="pl-PL" w:eastAsia="pl-PL"/>
        </w:rPr>
        <w:t>ch</w:t>
      </w:r>
      <w:proofErr w:type="spellEnd"/>
      <w:r w:rsidR="00153679" w:rsidRPr="00042E97">
        <w:rPr>
          <w:rFonts w:asciiTheme="minorHAnsi" w:hAnsiTheme="minorHAnsi" w:cstheme="minorHAnsi"/>
          <w:sz w:val="24"/>
          <w:szCs w:val="24"/>
          <w:lang w:eastAsia="pl-PL"/>
        </w:rPr>
        <w:t xml:space="preserve"> </w:t>
      </w:r>
      <w:r>
        <w:rPr>
          <w:rFonts w:asciiTheme="minorHAnsi" w:hAnsiTheme="minorHAnsi" w:cstheme="minorHAnsi"/>
          <w:sz w:val="24"/>
          <w:szCs w:val="24"/>
          <w:lang w:val="pl-PL" w:eastAsia="pl-PL"/>
        </w:rPr>
        <w:t xml:space="preserve">należy spodziewać się dalszego </w:t>
      </w:r>
      <w:r w:rsidR="00153679" w:rsidRPr="00042E97">
        <w:rPr>
          <w:rFonts w:asciiTheme="minorHAnsi" w:hAnsiTheme="minorHAnsi" w:cstheme="minorHAnsi"/>
          <w:sz w:val="24"/>
          <w:szCs w:val="24"/>
          <w:lang w:eastAsia="pl-PL"/>
        </w:rPr>
        <w:t>spadk</w:t>
      </w:r>
      <w:r>
        <w:rPr>
          <w:rFonts w:asciiTheme="minorHAnsi" w:hAnsiTheme="minorHAnsi" w:cstheme="minorHAnsi"/>
          <w:sz w:val="24"/>
          <w:szCs w:val="24"/>
          <w:lang w:val="pl-PL" w:eastAsia="pl-PL"/>
        </w:rPr>
        <w:t>u</w:t>
      </w:r>
      <w:r w:rsidR="00153679" w:rsidRPr="00042E97">
        <w:rPr>
          <w:rFonts w:asciiTheme="minorHAnsi" w:hAnsiTheme="minorHAnsi" w:cstheme="minorHAnsi"/>
          <w:sz w:val="24"/>
          <w:szCs w:val="24"/>
          <w:lang w:eastAsia="pl-PL"/>
        </w:rPr>
        <w:t xml:space="preserve"> liczby budowanych mieszkań</w:t>
      </w:r>
      <w:r>
        <w:rPr>
          <w:rFonts w:asciiTheme="minorHAnsi" w:hAnsiTheme="minorHAnsi" w:cstheme="minorHAnsi"/>
          <w:sz w:val="24"/>
          <w:szCs w:val="24"/>
          <w:lang w:val="pl-PL" w:eastAsia="pl-PL"/>
        </w:rPr>
        <w:t xml:space="preserve"> czynszowych</w:t>
      </w:r>
      <w:r w:rsidR="00153679" w:rsidRPr="00042E97">
        <w:rPr>
          <w:rFonts w:asciiTheme="minorHAnsi" w:hAnsiTheme="minorHAnsi" w:cstheme="minorHAnsi"/>
          <w:sz w:val="24"/>
          <w:szCs w:val="24"/>
          <w:lang w:eastAsia="pl-PL"/>
        </w:rPr>
        <w:t xml:space="preserve">. </w:t>
      </w:r>
      <w:r>
        <w:rPr>
          <w:rFonts w:asciiTheme="minorHAnsi" w:hAnsiTheme="minorHAnsi" w:cstheme="minorHAnsi"/>
          <w:sz w:val="24"/>
          <w:szCs w:val="24"/>
          <w:lang w:val="pl-PL" w:eastAsia="pl-PL"/>
        </w:rPr>
        <w:t>Już ubiegłoroczne wyniki są złe. Natomiast dane GUS  o mieszkaniach rozpoczętych są wręcz katastrofalne. Nie ma jeszcze końcowych danych dla powiatów, ale po 11 miesiącach zanosiło się, że</w:t>
      </w:r>
      <w:r w:rsidRPr="00042E97">
        <w:rPr>
          <w:rFonts w:asciiTheme="minorHAnsi" w:hAnsiTheme="minorHAnsi" w:cstheme="minorHAnsi"/>
          <w:sz w:val="24"/>
          <w:szCs w:val="24"/>
          <w:lang w:val="pl-PL" w:eastAsia="pl-PL"/>
        </w:rPr>
        <w:t xml:space="preserve"> w </w:t>
      </w:r>
      <w:r w:rsidR="00153679" w:rsidRPr="00042E97">
        <w:rPr>
          <w:rFonts w:asciiTheme="minorHAnsi" w:hAnsiTheme="minorHAnsi" w:cstheme="minorHAnsi"/>
          <w:sz w:val="24"/>
          <w:szCs w:val="24"/>
          <w:shd w:val="clear" w:color="auto" w:fill="FFFFFF"/>
        </w:rPr>
        <w:t>95</w:t>
      </w:r>
      <w:r w:rsidR="00153679" w:rsidRPr="00042E97">
        <w:rPr>
          <w:rFonts w:asciiTheme="minorHAnsi" w:hAnsiTheme="minorHAnsi" w:cstheme="minorHAnsi"/>
          <w:sz w:val="24"/>
          <w:szCs w:val="24"/>
          <w:shd w:val="clear" w:color="auto" w:fill="FFFFFF"/>
          <w:lang w:val="pl-PL"/>
        </w:rPr>
        <w:t>%</w:t>
      </w:r>
      <w:r w:rsidR="00153679" w:rsidRPr="00042E97">
        <w:rPr>
          <w:rFonts w:asciiTheme="minorHAnsi" w:hAnsiTheme="minorHAnsi" w:cstheme="minorHAnsi"/>
          <w:sz w:val="24"/>
          <w:szCs w:val="24"/>
          <w:shd w:val="clear" w:color="auto" w:fill="FFFFFF"/>
        </w:rPr>
        <w:t xml:space="preserve"> </w:t>
      </w:r>
      <w:r w:rsidRPr="00042E97">
        <w:rPr>
          <w:rFonts w:asciiTheme="minorHAnsi" w:hAnsiTheme="minorHAnsi" w:cstheme="minorHAnsi"/>
          <w:sz w:val="24"/>
          <w:szCs w:val="24"/>
          <w:shd w:val="clear" w:color="auto" w:fill="FFFFFF"/>
          <w:lang w:val="pl-PL"/>
        </w:rPr>
        <w:t xml:space="preserve">z nich </w:t>
      </w:r>
      <w:r w:rsidR="00153679" w:rsidRPr="00042E97">
        <w:rPr>
          <w:rFonts w:asciiTheme="minorHAnsi" w:hAnsiTheme="minorHAnsi" w:cstheme="minorHAnsi"/>
          <w:sz w:val="24"/>
          <w:szCs w:val="24"/>
          <w:shd w:val="clear" w:color="auto" w:fill="FFFFFF"/>
        </w:rPr>
        <w:t>nie rozpocz</w:t>
      </w:r>
      <w:r>
        <w:rPr>
          <w:rFonts w:asciiTheme="minorHAnsi" w:hAnsiTheme="minorHAnsi" w:cstheme="minorHAnsi"/>
          <w:sz w:val="24"/>
          <w:szCs w:val="24"/>
          <w:shd w:val="clear" w:color="auto" w:fill="FFFFFF"/>
          <w:lang w:val="pl-PL"/>
        </w:rPr>
        <w:t>nie</w:t>
      </w:r>
      <w:r w:rsidR="00153679" w:rsidRPr="00042E97">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lang w:val="pl-PL"/>
        </w:rPr>
        <w:t xml:space="preserve">się w 2020 r. budowa </w:t>
      </w:r>
      <w:r w:rsidR="00153679" w:rsidRPr="00042E97">
        <w:rPr>
          <w:rFonts w:asciiTheme="minorHAnsi" w:hAnsiTheme="minorHAnsi" w:cstheme="minorHAnsi"/>
          <w:sz w:val="24"/>
          <w:szCs w:val="24"/>
          <w:shd w:val="clear" w:color="auto" w:fill="FFFFFF"/>
        </w:rPr>
        <w:t>ani jednego mieszkania komunalnego!</w:t>
      </w:r>
      <w:r>
        <w:rPr>
          <w:rFonts w:asciiTheme="minorHAnsi" w:hAnsiTheme="minorHAnsi" w:cstheme="minorHAnsi"/>
          <w:sz w:val="24"/>
          <w:szCs w:val="24"/>
          <w:shd w:val="clear" w:color="auto" w:fill="FFFFFF"/>
          <w:lang w:val="pl-PL"/>
        </w:rPr>
        <w:t xml:space="preserve"> </w:t>
      </w:r>
    </w:p>
    <w:p w14:paraId="27CA977E" w14:textId="08CF0728" w:rsidR="00153679" w:rsidRPr="00042E97" w:rsidRDefault="00153679" w:rsidP="00042E97">
      <w:pPr>
        <w:rPr>
          <w:rFonts w:asciiTheme="minorHAnsi" w:hAnsiTheme="minorHAnsi" w:cstheme="minorHAnsi"/>
          <w:sz w:val="24"/>
          <w:szCs w:val="24"/>
          <w:shd w:val="clear" w:color="auto" w:fill="FFFFFF"/>
        </w:rPr>
      </w:pPr>
      <w:r w:rsidRPr="00042E97">
        <w:rPr>
          <w:rFonts w:asciiTheme="minorHAnsi" w:hAnsiTheme="minorHAnsi" w:cstheme="minorHAnsi"/>
          <w:sz w:val="24"/>
          <w:szCs w:val="24"/>
          <w:shd w:val="clear" w:color="auto" w:fill="FFFFFF"/>
        </w:rPr>
        <w:t xml:space="preserve">O </w:t>
      </w:r>
      <w:r w:rsidR="00530FBB">
        <w:rPr>
          <w:rFonts w:asciiTheme="minorHAnsi" w:hAnsiTheme="minorHAnsi" w:cstheme="minorHAnsi"/>
          <w:sz w:val="24"/>
          <w:szCs w:val="24"/>
          <w:shd w:val="clear" w:color="auto" w:fill="FFFFFF"/>
          <w:lang w:val="pl-PL"/>
        </w:rPr>
        <w:t>przeszło 23%</w:t>
      </w:r>
      <w:r w:rsidRPr="00042E97">
        <w:rPr>
          <w:rFonts w:asciiTheme="minorHAnsi" w:hAnsiTheme="minorHAnsi" w:cstheme="minorHAnsi"/>
          <w:sz w:val="24"/>
          <w:szCs w:val="24"/>
          <w:shd w:val="clear" w:color="auto" w:fill="FFFFFF"/>
        </w:rPr>
        <w:t>% gorsze niż przed rokiem są też wyniki towarzystw budownictwa społecznego (są to spółki należące głównie do gmin) –</w:t>
      </w:r>
      <w:r w:rsidR="00530FBB">
        <w:rPr>
          <w:rFonts w:asciiTheme="minorHAnsi" w:hAnsiTheme="minorHAnsi" w:cstheme="minorHAnsi"/>
          <w:sz w:val="24"/>
          <w:szCs w:val="24"/>
          <w:shd w:val="clear" w:color="auto" w:fill="FFFFFF"/>
          <w:lang w:val="pl-PL"/>
        </w:rPr>
        <w:t>1163</w:t>
      </w:r>
      <w:r w:rsidRPr="00042E97">
        <w:rPr>
          <w:rFonts w:asciiTheme="minorHAnsi" w:hAnsiTheme="minorHAnsi" w:cstheme="minorHAnsi"/>
          <w:sz w:val="24"/>
          <w:szCs w:val="24"/>
          <w:shd w:val="clear" w:color="auto" w:fill="FFFFFF"/>
        </w:rPr>
        <w:t xml:space="preserve"> rozpoczętych mieszkań.</w:t>
      </w:r>
      <w:r w:rsidR="00042E97">
        <w:rPr>
          <w:rFonts w:asciiTheme="minorHAnsi" w:hAnsiTheme="minorHAnsi" w:cstheme="minorHAnsi"/>
          <w:sz w:val="24"/>
          <w:szCs w:val="24"/>
          <w:shd w:val="clear" w:color="auto" w:fill="FFFFFF"/>
          <w:lang w:val="pl-PL"/>
        </w:rPr>
        <w:t xml:space="preserve"> Martwią </w:t>
      </w:r>
      <w:r w:rsidRPr="00042E97">
        <w:rPr>
          <w:rFonts w:asciiTheme="minorHAnsi" w:hAnsiTheme="minorHAnsi" w:cstheme="minorHAnsi"/>
          <w:sz w:val="24"/>
          <w:szCs w:val="24"/>
          <w:shd w:val="clear" w:color="auto" w:fill="FFFFFF"/>
        </w:rPr>
        <w:t xml:space="preserve">również dane o pozwoleniach na budowę – objęły one </w:t>
      </w:r>
      <w:r w:rsidR="00530FBB">
        <w:rPr>
          <w:rFonts w:asciiTheme="minorHAnsi" w:hAnsiTheme="minorHAnsi" w:cstheme="minorHAnsi"/>
          <w:sz w:val="24"/>
          <w:szCs w:val="24"/>
          <w:shd w:val="clear" w:color="auto" w:fill="FFFFFF"/>
          <w:lang w:val="pl-PL"/>
        </w:rPr>
        <w:t>714</w:t>
      </w:r>
      <w:r w:rsidRPr="00042E97">
        <w:rPr>
          <w:rFonts w:asciiTheme="minorHAnsi" w:hAnsiTheme="minorHAnsi" w:cstheme="minorHAnsi"/>
          <w:sz w:val="24"/>
          <w:szCs w:val="24"/>
          <w:shd w:val="clear" w:color="auto" w:fill="FFFFFF"/>
        </w:rPr>
        <w:t xml:space="preserve"> mieszkań komunalnych (spadek o </w:t>
      </w:r>
      <w:r w:rsidR="00530FBB">
        <w:rPr>
          <w:rFonts w:asciiTheme="minorHAnsi" w:hAnsiTheme="minorHAnsi" w:cstheme="minorHAnsi"/>
          <w:sz w:val="24"/>
          <w:szCs w:val="24"/>
          <w:shd w:val="clear" w:color="auto" w:fill="FFFFFF"/>
          <w:lang w:val="pl-PL"/>
        </w:rPr>
        <w:t>54</w:t>
      </w:r>
      <w:r w:rsidRPr="00042E97">
        <w:rPr>
          <w:rFonts w:asciiTheme="minorHAnsi" w:hAnsiTheme="minorHAnsi" w:cstheme="minorHAnsi"/>
          <w:sz w:val="24"/>
          <w:szCs w:val="24"/>
          <w:shd w:val="clear" w:color="auto" w:fill="FFFFFF"/>
        </w:rPr>
        <w:t xml:space="preserve">%) oraz </w:t>
      </w:r>
      <w:r w:rsidR="00530FBB">
        <w:rPr>
          <w:rFonts w:asciiTheme="minorHAnsi" w:hAnsiTheme="minorHAnsi" w:cstheme="minorHAnsi"/>
          <w:sz w:val="24"/>
          <w:szCs w:val="24"/>
          <w:shd w:val="clear" w:color="auto" w:fill="FFFFFF"/>
          <w:lang w:val="pl-PL"/>
        </w:rPr>
        <w:t>847</w:t>
      </w:r>
      <w:r w:rsidRPr="00042E97">
        <w:rPr>
          <w:rFonts w:asciiTheme="minorHAnsi" w:hAnsiTheme="minorHAnsi" w:cstheme="minorHAnsi"/>
          <w:sz w:val="24"/>
          <w:szCs w:val="24"/>
          <w:shd w:val="clear" w:color="auto" w:fill="FFFFFF"/>
        </w:rPr>
        <w:t xml:space="preserve"> społeczn</w:t>
      </w:r>
      <w:proofErr w:type="spellStart"/>
      <w:r w:rsidR="00530FBB">
        <w:rPr>
          <w:rFonts w:asciiTheme="minorHAnsi" w:hAnsiTheme="minorHAnsi" w:cstheme="minorHAnsi"/>
          <w:sz w:val="24"/>
          <w:szCs w:val="24"/>
          <w:shd w:val="clear" w:color="auto" w:fill="FFFFFF"/>
          <w:lang w:val="pl-PL"/>
        </w:rPr>
        <w:t>ych</w:t>
      </w:r>
      <w:proofErr w:type="spellEnd"/>
      <w:r w:rsidRPr="00042E97">
        <w:rPr>
          <w:rFonts w:asciiTheme="minorHAnsi" w:hAnsiTheme="minorHAnsi" w:cstheme="minorHAnsi"/>
          <w:sz w:val="24"/>
          <w:szCs w:val="24"/>
          <w:shd w:val="clear" w:color="auto" w:fill="FFFFFF"/>
        </w:rPr>
        <w:t xml:space="preserve"> mieszka</w:t>
      </w:r>
      <w:r w:rsidR="00530FBB">
        <w:rPr>
          <w:rFonts w:asciiTheme="minorHAnsi" w:hAnsiTheme="minorHAnsi" w:cstheme="minorHAnsi"/>
          <w:sz w:val="24"/>
          <w:szCs w:val="24"/>
          <w:shd w:val="clear" w:color="auto" w:fill="FFFFFF"/>
          <w:lang w:val="pl-PL"/>
        </w:rPr>
        <w:t>ń</w:t>
      </w:r>
      <w:r w:rsidRPr="00042E97">
        <w:rPr>
          <w:rFonts w:asciiTheme="minorHAnsi" w:hAnsiTheme="minorHAnsi" w:cstheme="minorHAnsi"/>
          <w:sz w:val="24"/>
          <w:szCs w:val="24"/>
          <w:shd w:val="clear" w:color="auto" w:fill="FFFFFF"/>
        </w:rPr>
        <w:t xml:space="preserve"> czynszow</w:t>
      </w:r>
      <w:proofErr w:type="spellStart"/>
      <w:r w:rsidR="00530FBB">
        <w:rPr>
          <w:rFonts w:asciiTheme="minorHAnsi" w:hAnsiTheme="minorHAnsi" w:cstheme="minorHAnsi"/>
          <w:sz w:val="24"/>
          <w:szCs w:val="24"/>
          <w:shd w:val="clear" w:color="auto" w:fill="FFFFFF"/>
          <w:lang w:val="pl-PL"/>
        </w:rPr>
        <w:t>ych</w:t>
      </w:r>
      <w:proofErr w:type="spellEnd"/>
      <w:r w:rsidRPr="00042E97">
        <w:rPr>
          <w:rFonts w:asciiTheme="minorHAnsi" w:hAnsiTheme="minorHAnsi" w:cstheme="minorHAnsi"/>
          <w:sz w:val="24"/>
          <w:szCs w:val="24"/>
          <w:shd w:val="clear" w:color="auto" w:fill="FFFFFF"/>
        </w:rPr>
        <w:t xml:space="preserve"> (o ok. </w:t>
      </w:r>
      <w:r w:rsidR="00530FBB">
        <w:rPr>
          <w:rFonts w:asciiTheme="minorHAnsi" w:hAnsiTheme="minorHAnsi" w:cstheme="minorHAnsi"/>
          <w:sz w:val="24"/>
          <w:szCs w:val="24"/>
          <w:shd w:val="clear" w:color="auto" w:fill="FFFFFF"/>
          <w:lang w:val="pl-PL"/>
        </w:rPr>
        <w:t>20</w:t>
      </w:r>
      <w:r w:rsidRPr="00042E97">
        <w:rPr>
          <w:rFonts w:asciiTheme="minorHAnsi" w:hAnsiTheme="minorHAnsi" w:cstheme="minorHAnsi"/>
          <w:sz w:val="24"/>
          <w:szCs w:val="24"/>
          <w:shd w:val="clear" w:color="auto" w:fill="FFFFFF"/>
        </w:rPr>
        <w:t>% mniej).</w:t>
      </w:r>
    </w:p>
    <w:p w14:paraId="15C92DC7" w14:textId="77777777" w:rsidR="00153679" w:rsidRDefault="00153679" w:rsidP="00153679">
      <w:pPr>
        <w:rPr>
          <w:shd w:val="clear" w:color="auto" w:fill="FFFFFF"/>
          <w:lang w:val="pl-PL"/>
        </w:rPr>
      </w:pPr>
    </w:p>
    <w:p w14:paraId="61EDD57A" w14:textId="5B8E7C79" w:rsidR="00153679" w:rsidRPr="00CA3E85" w:rsidRDefault="00153679" w:rsidP="00153679">
      <w:pPr>
        <w:rPr>
          <w:rFonts w:asciiTheme="minorHAnsi" w:hAnsiTheme="minorHAnsi" w:cstheme="minorHAnsi"/>
          <w:color w:val="455A63"/>
          <w:sz w:val="28"/>
          <w:szCs w:val="28"/>
          <w:shd w:val="clear" w:color="auto" w:fill="FFFFFF"/>
          <w:lang w:val="pl-PL"/>
        </w:rPr>
      </w:pPr>
      <w:r w:rsidRPr="00CA3E85">
        <w:rPr>
          <w:rFonts w:asciiTheme="minorHAnsi" w:hAnsiTheme="minorHAnsi" w:cstheme="minorHAnsi"/>
          <w:b/>
          <w:bCs/>
          <w:color w:val="455A63"/>
          <w:sz w:val="28"/>
          <w:szCs w:val="28"/>
          <w:shd w:val="clear" w:color="auto" w:fill="FFFFFF"/>
          <w:lang w:val="pl-PL"/>
        </w:rPr>
        <w:t>Budownictwo czynszowe</w:t>
      </w:r>
      <w:r w:rsidRPr="00CA3E85">
        <w:rPr>
          <w:rFonts w:asciiTheme="minorHAnsi" w:hAnsiTheme="minorHAnsi" w:cstheme="minorHAnsi"/>
          <w:color w:val="455A63"/>
          <w:sz w:val="28"/>
          <w:szCs w:val="28"/>
          <w:shd w:val="clear" w:color="auto" w:fill="FFFFFF"/>
          <w:lang w:val="pl-PL"/>
        </w:rPr>
        <w:t xml:space="preserve"> </w:t>
      </w:r>
      <w:r w:rsidRPr="00CA3E85">
        <w:rPr>
          <w:rFonts w:asciiTheme="minorHAnsi" w:hAnsiTheme="minorHAnsi" w:cstheme="minorHAnsi"/>
          <w:b/>
          <w:bCs/>
          <w:color w:val="455A63"/>
          <w:sz w:val="28"/>
          <w:szCs w:val="28"/>
          <w:shd w:val="clear" w:color="auto" w:fill="FFFFFF"/>
          <w:lang w:val="pl-PL"/>
        </w:rPr>
        <w:t xml:space="preserve">w </w:t>
      </w:r>
      <w:r w:rsidR="00042E97" w:rsidRPr="00CA3E85">
        <w:rPr>
          <w:rFonts w:asciiTheme="minorHAnsi" w:hAnsiTheme="minorHAnsi" w:cstheme="minorHAnsi"/>
          <w:b/>
          <w:bCs/>
          <w:color w:val="455A63"/>
          <w:sz w:val="28"/>
          <w:szCs w:val="28"/>
          <w:shd w:val="clear" w:color="auto" w:fill="FFFFFF"/>
          <w:lang w:val="pl-PL"/>
        </w:rPr>
        <w:t>2020 r.</w:t>
      </w:r>
    </w:p>
    <w:p w14:paraId="7C238D45" w14:textId="77777777" w:rsidR="00153679" w:rsidRPr="00042E97" w:rsidRDefault="00153679" w:rsidP="00153679">
      <w:pPr>
        <w:rPr>
          <w:rFonts w:asciiTheme="minorHAnsi" w:hAnsiTheme="minorHAnsi" w:cstheme="minorHAnsi"/>
          <w:sz w:val="24"/>
          <w:szCs w:val="24"/>
          <w:shd w:val="clear" w:color="auto" w:fill="FFFFFF"/>
          <w:lang w:val="pl-PL"/>
        </w:rPr>
      </w:pPr>
    </w:p>
    <w:tbl>
      <w:tblPr>
        <w:tblW w:w="0" w:type="auto"/>
        <w:tblBorders>
          <w:top w:val="single" w:sz="24" w:space="0" w:color="4632B3"/>
          <w:left w:val="single" w:sz="24" w:space="0" w:color="4632B3"/>
          <w:bottom w:val="single" w:sz="24" w:space="0" w:color="4632B3"/>
          <w:right w:val="single" w:sz="24" w:space="0" w:color="4632B3"/>
        </w:tblBorders>
        <w:tblLook w:val="04A0" w:firstRow="1" w:lastRow="0" w:firstColumn="1" w:lastColumn="0" w:noHBand="0" w:noVBand="1"/>
      </w:tblPr>
      <w:tblGrid>
        <w:gridCol w:w="2379"/>
        <w:gridCol w:w="1557"/>
        <w:gridCol w:w="1002"/>
        <w:gridCol w:w="1744"/>
        <w:gridCol w:w="998"/>
        <w:gridCol w:w="1731"/>
        <w:gridCol w:w="995"/>
      </w:tblGrid>
      <w:tr w:rsidR="00042E97" w:rsidRPr="00042E97" w14:paraId="6807A3AC" w14:textId="77777777" w:rsidTr="00EF4664">
        <w:tc>
          <w:tcPr>
            <w:tcW w:w="2405" w:type="dxa"/>
            <w:shd w:val="clear" w:color="auto" w:fill="auto"/>
          </w:tcPr>
          <w:p w14:paraId="7AEF9C1B" w14:textId="77777777"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p>
        </w:tc>
        <w:tc>
          <w:tcPr>
            <w:tcW w:w="1559" w:type="dxa"/>
          </w:tcPr>
          <w:p w14:paraId="40961C15" w14:textId="3560564C"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Oddane do użytkowania</w:t>
            </w:r>
          </w:p>
        </w:tc>
        <w:tc>
          <w:tcPr>
            <w:tcW w:w="1003" w:type="dxa"/>
          </w:tcPr>
          <w:p w14:paraId="4D5AF689" w14:textId="77777777"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Zmiana</w:t>
            </w:r>
          </w:p>
          <w:p w14:paraId="1BBAD1E1" w14:textId="5D2D1D96"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r/r</w:t>
            </w:r>
          </w:p>
        </w:tc>
        <w:tc>
          <w:tcPr>
            <w:tcW w:w="1754" w:type="dxa"/>
            <w:shd w:val="clear" w:color="auto" w:fill="auto"/>
          </w:tcPr>
          <w:p w14:paraId="5544A461" w14:textId="099106B4"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Rozpoczęte</w:t>
            </w:r>
          </w:p>
        </w:tc>
        <w:tc>
          <w:tcPr>
            <w:tcW w:w="999" w:type="dxa"/>
            <w:shd w:val="clear" w:color="auto" w:fill="auto"/>
          </w:tcPr>
          <w:p w14:paraId="4562FEB8" w14:textId="77777777"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Zmiana r/r</w:t>
            </w:r>
          </w:p>
        </w:tc>
        <w:tc>
          <w:tcPr>
            <w:tcW w:w="1740" w:type="dxa"/>
            <w:shd w:val="clear" w:color="auto" w:fill="auto"/>
          </w:tcPr>
          <w:p w14:paraId="01D2BEC0" w14:textId="77777777"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Pozwolenia na budowę</w:t>
            </w:r>
          </w:p>
        </w:tc>
        <w:tc>
          <w:tcPr>
            <w:tcW w:w="996" w:type="dxa"/>
            <w:shd w:val="clear" w:color="auto" w:fill="auto"/>
          </w:tcPr>
          <w:p w14:paraId="0CEC806E" w14:textId="77777777"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Zmiana r/r</w:t>
            </w:r>
          </w:p>
        </w:tc>
      </w:tr>
      <w:tr w:rsidR="00EF4664" w:rsidRPr="00042E97" w14:paraId="03AD7517" w14:textId="77777777" w:rsidTr="00EF4664">
        <w:tc>
          <w:tcPr>
            <w:tcW w:w="2405" w:type="dxa"/>
            <w:shd w:val="clear" w:color="auto" w:fill="auto"/>
          </w:tcPr>
          <w:p w14:paraId="081EF8A9" w14:textId="77777777"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Mieszkania komunalne</w:t>
            </w:r>
          </w:p>
        </w:tc>
        <w:tc>
          <w:tcPr>
            <w:tcW w:w="1559" w:type="dxa"/>
          </w:tcPr>
          <w:p w14:paraId="39A72AEB" w14:textId="0886CE13"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1035</w:t>
            </w:r>
          </w:p>
        </w:tc>
        <w:tc>
          <w:tcPr>
            <w:tcW w:w="1003" w:type="dxa"/>
          </w:tcPr>
          <w:p w14:paraId="7FC0A84C" w14:textId="0E679D31"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-43,7%</w:t>
            </w:r>
          </w:p>
        </w:tc>
        <w:tc>
          <w:tcPr>
            <w:tcW w:w="1754" w:type="dxa"/>
            <w:shd w:val="clear" w:color="auto" w:fill="auto"/>
          </w:tcPr>
          <w:p w14:paraId="27362744" w14:textId="5A314681"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365</w:t>
            </w:r>
          </w:p>
        </w:tc>
        <w:tc>
          <w:tcPr>
            <w:tcW w:w="999" w:type="dxa"/>
            <w:shd w:val="clear" w:color="auto" w:fill="auto"/>
          </w:tcPr>
          <w:p w14:paraId="638D1432" w14:textId="6313BF5F"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-72,9%</w:t>
            </w:r>
          </w:p>
        </w:tc>
        <w:tc>
          <w:tcPr>
            <w:tcW w:w="1740" w:type="dxa"/>
            <w:shd w:val="clear" w:color="auto" w:fill="auto"/>
          </w:tcPr>
          <w:p w14:paraId="364CC0B8" w14:textId="07DA845C"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714</w:t>
            </w:r>
          </w:p>
        </w:tc>
        <w:tc>
          <w:tcPr>
            <w:tcW w:w="996" w:type="dxa"/>
            <w:shd w:val="clear" w:color="auto" w:fill="auto"/>
          </w:tcPr>
          <w:p w14:paraId="398A24AB" w14:textId="432C4D72"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-54%</w:t>
            </w:r>
          </w:p>
        </w:tc>
      </w:tr>
      <w:tr w:rsidR="00042E97" w:rsidRPr="00042E97" w14:paraId="350291FE" w14:textId="77777777" w:rsidTr="00EF4664">
        <w:tc>
          <w:tcPr>
            <w:tcW w:w="2405" w:type="dxa"/>
            <w:shd w:val="clear" w:color="auto" w:fill="auto"/>
          </w:tcPr>
          <w:p w14:paraId="307192FA" w14:textId="77777777" w:rsidR="00042E97" w:rsidRPr="00EF4664" w:rsidRDefault="00042E97" w:rsidP="008307BB">
            <w:pPr>
              <w:jc w:val="center"/>
              <w:rPr>
                <w:rFonts w:asciiTheme="minorHAnsi" w:hAnsiTheme="minorHAnsi" w:cstheme="minorHAnsi"/>
                <w:b/>
                <w:bCs/>
                <w:color w:val="455A63"/>
                <w:sz w:val="24"/>
                <w:szCs w:val="24"/>
                <w:shd w:val="clear" w:color="auto" w:fill="FFFFFF"/>
                <w:lang w:val="pl-PL"/>
              </w:rPr>
            </w:pPr>
            <w:r w:rsidRPr="00EF4664">
              <w:rPr>
                <w:rFonts w:asciiTheme="minorHAnsi" w:hAnsiTheme="minorHAnsi" w:cstheme="minorHAnsi"/>
                <w:b/>
                <w:bCs/>
                <w:color w:val="455A63"/>
                <w:sz w:val="24"/>
                <w:szCs w:val="24"/>
                <w:shd w:val="clear" w:color="auto" w:fill="FFFFFF"/>
                <w:lang w:val="pl-PL"/>
              </w:rPr>
              <w:t>Mieszkania społeczne czynszowe</w:t>
            </w:r>
          </w:p>
        </w:tc>
        <w:tc>
          <w:tcPr>
            <w:tcW w:w="1559" w:type="dxa"/>
          </w:tcPr>
          <w:p w14:paraId="1F2594E4" w14:textId="349E4704"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1508</w:t>
            </w:r>
          </w:p>
        </w:tc>
        <w:tc>
          <w:tcPr>
            <w:tcW w:w="1003" w:type="dxa"/>
          </w:tcPr>
          <w:p w14:paraId="714B5BA8" w14:textId="06CB2AA8"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-38,9%</w:t>
            </w:r>
          </w:p>
        </w:tc>
        <w:tc>
          <w:tcPr>
            <w:tcW w:w="1754" w:type="dxa"/>
            <w:shd w:val="clear" w:color="auto" w:fill="auto"/>
          </w:tcPr>
          <w:p w14:paraId="10204D53" w14:textId="403FC6D2"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1163</w:t>
            </w:r>
          </w:p>
        </w:tc>
        <w:tc>
          <w:tcPr>
            <w:tcW w:w="999" w:type="dxa"/>
            <w:shd w:val="clear" w:color="auto" w:fill="auto"/>
          </w:tcPr>
          <w:p w14:paraId="42432E16" w14:textId="6BE63E68"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-23,2%</w:t>
            </w:r>
          </w:p>
        </w:tc>
        <w:tc>
          <w:tcPr>
            <w:tcW w:w="1740" w:type="dxa"/>
            <w:shd w:val="clear" w:color="auto" w:fill="auto"/>
          </w:tcPr>
          <w:p w14:paraId="264BE007" w14:textId="3C914FB4"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847</w:t>
            </w:r>
          </w:p>
        </w:tc>
        <w:tc>
          <w:tcPr>
            <w:tcW w:w="996" w:type="dxa"/>
            <w:shd w:val="clear" w:color="auto" w:fill="auto"/>
          </w:tcPr>
          <w:p w14:paraId="47DE44CF" w14:textId="205FF003" w:rsidR="00042E97" w:rsidRPr="00530FBB" w:rsidRDefault="00530FBB" w:rsidP="008307BB">
            <w:pPr>
              <w:jc w:val="center"/>
              <w:rPr>
                <w:rFonts w:asciiTheme="minorHAnsi" w:hAnsiTheme="minorHAnsi" w:cstheme="minorHAnsi"/>
                <w:b/>
                <w:bCs/>
                <w:color w:val="8F60BE"/>
                <w:sz w:val="24"/>
                <w:szCs w:val="24"/>
                <w:shd w:val="clear" w:color="auto" w:fill="FFFFFF"/>
                <w:lang w:val="pl-PL"/>
              </w:rPr>
            </w:pPr>
            <w:r w:rsidRPr="00530FBB">
              <w:rPr>
                <w:rFonts w:asciiTheme="minorHAnsi" w:hAnsiTheme="minorHAnsi" w:cstheme="minorHAnsi"/>
                <w:b/>
                <w:bCs/>
                <w:color w:val="8F60BE"/>
                <w:sz w:val="24"/>
                <w:szCs w:val="24"/>
                <w:shd w:val="clear" w:color="auto" w:fill="FFFFFF"/>
                <w:lang w:val="pl-PL"/>
              </w:rPr>
              <w:t>-19,8%</w:t>
            </w:r>
          </w:p>
        </w:tc>
      </w:tr>
    </w:tbl>
    <w:p w14:paraId="3EA77A1E" w14:textId="77777777" w:rsidR="00153679" w:rsidRPr="00042E97" w:rsidRDefault="00153679" w:rsidP="00153679">
      <w:pPr>
        <w:rPr>
          <w:rFonts w:asciiTheme="minorHAnsi" w:hAnsiTheme="minorHAnsi" w:cstheme="minorHAnsi"/>
          <w:sz w:val="24"/>
          <w:szCs w:val="24"/>
          <w:shd w:val="clear" w:color="auto" w:fill="FFFFFF"/>
          <w:lang w:val="pl-PL"/>
        </w:rPr>
      </w:pPr>
    </w:p>
    <w:p w14:paraId="3A049742" w14:textId="77777777" w:rsidR="00153679" w:rsidRPr="00EF4664" w:rsidRDefault="00153679" w:rsidP="00153679">
      <w:pPr>
        <w:rPr>
          <w:rFonts w:asciiTheme="minorHAnsi" w:hAnsiTheme="minorHAnsi" w:cstheme="minorHAnsi"/>
          <w:color w:val="455A63"/>
          <w:sz w:val="24"/>
          <w:szCs w:val="24"/>
          <w:shd w:val="clear" w:color="auto" w:fill="FFFFFF"/>
          <w:lang w:val="pl-PL"/>
        </w:rPr>
      </w:pPr>
      <w:r w:rsidRPr="00EF4664">
        <w:rPr>
          <w:rFonts w:asciiTheme="minorHAnsi" w:hAnsiTheme="minorHAnsi" w:cstheme="minorHAnsi"/>
          <w:color w:val="455A63"/>
          <w:sz w:val="24"/>
          <w:szCs w:val="24"/>
          <w:shd w:val="clear" w:color="auto" w:fill="FFFFFF"/>
          <w:lang w:val="pl-PL"/>
        </w:rPr>
        <w:t>Źródło: GUS</w:t>
      </w:r>
    </w:p>
    <w:p w14:paraId="5D2B87F5" w14:textId="331BABD1" w:rsidR="00153679" w:rsidRDefault="00153679" w:rsidP="00153679">
      <w:pPr>
        <w:rPr>
          <w:rFonts w:asciiTheme="minorHAnsi" w:hAnsiTheme="minorHAnsi" w:cstheme="minorHAnsi"/>
          <w:sz w:val="24"/>
          <w:szCs w:val="24"/>
          <w:shd w:val="clear" w:color="auto" w:fill="FFFFFF"/>
          <w:lang w:val="pl-PL"/>
        </w:rPr>
      </w:pPr>
    </w:p>
    <w:p w14:paraId="16F4978E" w14:textId="6CB2FA6A" w:rsidR="00EE12FA" w:rsidRPr="00EE12FA" w:rsidRDefault="00EE12FA" w:rsidP="00EE12FA">
      <w:pPr>
        <w:shd w:val="clear" w:color="auto" w:fill="FFFFFF"/>
        <w:spacing w:before="120" w:after="120"/>
        <w:rPr>
          <w:rFonts w:ascii="Calibri" w:eastAsia="Times New Roman" w:hAnsi="Calibri" w:cs="Calibri"/>
          <w:b/>
          <w:bCs/>
          <w:sz w:val="24"/>
          <w:szCs w:val="24"/>
          <w:lang w:val="pl-PL"/>
        </w:rPr>
      </w:pPr>
      <w:r w:rsidRPr="00EE12FA">
        <w:rPr>
          <w:rFonts w:ascii="Calibri" w:eastAsia="Times New Roman" w:hAnsi="Calibri" w:cs="Calibri"/>
          <w:b/>
          <w:bCs/>
          <w:sz w:val="24"/>
          <w:szCs w:val="24"/>
          <w:lang w:val="pl-PL"/>
        </w:rPr>
        <w:t xml:space="preserve">Jarosław </w:t>
      </w:r>
      <w:proofErr w:type="spellStart"/>
      <w:r w:rsidRPr="00EE12FA">
        <w:rPr>
          <w:rFonts w:ascii="Calibri" w:eastAsia="Times New Roman" w:hAnsi="Calibri" w:cs="Calibri"/>
          <w:b/>
          <w:bCs/>
          <w:sz w:val="24"/>
          <w:szCs w:val="24"/>
          <w:lang w:val="pl-PL"/>
        </w:rPr>
        <w:t>Jędrzyń</w:t>
      </w:r>
      <w:r>
        <w:rPr>
          <w:rFonts w:ascii="Calibri" w:eastAsia="Times New Roman" w:hAnsi="Calibri" w:cs="Calibri"/>
          <w:b/>
          <w:bCs/>
          <w:sz w:val="24"/>
          <w:szCs w:val="24"/>
          <w:lang w:val="pl-PL"/>
        </w:rPr>
        <w:t>s</w:t>
      </w:r>
      <w:r w:rsidRPr="00EE12FA">
        <w:rPr>
          <w:rFonts w:ascii="Calibri" w:eastAsia="Times New Roman" w:hAnsi="Calibri" w:cs="Calibri"/>
          <w:b/>
          <w:bCs/>
          <w:sz w:val="24"/>
          <w:szCs w:val="24"/>
          <w:lang w:val="pl-PL"/>
        </w:rPr>
        <w:t>ki</w:t>
      </w:r>
      <w:proofErr w:type="spellEnd"/>
      <w:r w:rsidRPr="00EE12FA">
        <w:rPr>
          <w:rFonts w:ascii="Calibri" w:eastAsia="Times New Roman" w:hAnsi="Calibri" w:cs="Calibri"/>
          <w:b/>
          <w:bCs/>
          <w:sz w:val="24"/>
          <w:szCs w:val="24"/>
          <w:lang w:val="pl-PL"/>
        </w:rPr>
        <w:t>,</w:t>
      </w:r>
      <w:r>
        <w:rPr>
          <w:rFonts w:ascii="Calibri" w:eastAsia="Times New Roman" w:hAnsi="Calibri" w:cs="Calibri"/>
          <w:b/>
          <w:bCs/>
          <w:sz w:val="24"/>
          <w:szCs w:val="24"/>
          <w:lang w:val="pl-PL"/>
        </w:rPr>
        <w:t xml:space="preserve"> </w:t>
      </w:r>
      <w:r w:rsidRPr="00EE12FA">
        <w:rPr>
          <w:rFonts w:ascii="Calibri" w:eastAsia="Times New Roman" w:hAnsi="Calibri" w:cs="Calibri"/>
          <w:b/>
          <w:bCs/>
          <w:sz w:val="24"/>
          <w:szCs w:val="24"/>
          <w:lang w:val="pl-PL"/>
        </w:rPr>
        <w:t>ekspert RynekPierwotny.pl</w:t>
      </w:r>
    </w:p>
    <w:p w14:paraId="257DDA53" w14:textId="3C7606ED" w:rsidR="00EE12FA" w:rsidRDefault="00EE12FA" w:rsidP="00EE12FA">
      <w:pPr>
        <w:shd w:val="clear" w:color="auto" w:fill="FFFFFF"/>
        <w:spacing w:before="120" w:after="120"/>
        <w:rPr>
          <w:rFonts w:ascii="Calibri" w:eastAsia="Times New Roman" w:hAnsi="Calibri" w:cs="Calibri"/>
          <w:sz w:val="24"/>
          <w:szCs w:val="24"/>
          <w:lang w:val="pl-PL"/>
        </w:rPr>
      </w:pPr>
      <w:r>
        <w:rPr>
          <w:rFonts w:ascii="Calibri" w:eastAsia="Times New Roman" w:hAnsi="Calibri" w:cs="Calibri"/>
          <w:sz w:val="24"/>
          <w:szCs w:val="24"/>
        </w:rPr>
        <w:t xml:space="preserve">Styczniowa informacja GUS, </w:t>
      </w:r>
      <w:r>
        <w:rPr>
          <w:rFonts w:ascii="Calibri" w:eastAsia="Times New Roman" w:hAnsi="Calibri" w:cs="Calibri"/>
          <w:sz w:val="24"/>
          <w:szCs w:val="24"/>
          <w:lang w:val="pl-PL"/>
        </w:rPr>
        <w:t>komunikująca</w:t>
      </w:r>
      <w:r>
        <w:rPr>
          <w:rFonts w:ascii="Calibri" w:eastAsia="Times New Roman" w:hAnsi="Calibri" w:cs="Calibri"/>
          <w:sz w:val="24"/>
          <w:szCs w:val="24"/>
        </w:rPr>
        <w:t xml:space="preserve"> kompletn</w:t>
      </w:r>
      <w:r>
        <w:rPr>
          <w:rFonts w:ascii="Calibri" w:eastAsia="Times New Roman" w:hAnsi="Calibri" w:cs="Calibri"/>
          <w:sz w:val="24"/>
          <w:szCs w:val="24"/>
          <w:lang w:val="pl-PL"/>
        </w:rPr>
        <w:t>e już</w:t>
      </w:r>
      <w:r>
        <w:rPr>
          <w:rFonts w:ascii="Calibri" w:eastAsia="Times New Roman" w:hAnsi="Calibri" w:cs="Calibri"/>
          <w:sz w:val="24"/>
          <w:szCs w:val="24"/>
        </w:rPr>
        <w:t xml:space="preserve"> statystyk</w:t>
      </w:r>
      <w:r>
        <w:rPr>
          <w:rFonts w:ascii="Calibri" w:eastAsia="Times New Roman" w:hAnsi="Calibri" w:cs="Calibri"/>
          <w:sz w:val="24"/>
          <w:szCs w:val="24"/>
          <w:lang w:val="pl-PL"/>
        </w:rPr>
        <w:t>i</w:t>
      </w:r>
      <w:r>
        <w:rPr>
          <w:rFonts w:ascii="Calibri" w:eastAsia="Times New Roman" w:hAnsi="Calibri" w:cs="Calibri"/>
          <w:sz w:val="24"/>
          <w:szCs w:val="24"/>
        </w:rPr>
        <w:t xml:space="preserve"> </w:t>
      </w:r>
      <w:r>
        <w:rPr>
          <w:rFonts w:ascii="Calibri" w:eastAsia="Times New Roman" w:hAnsi="Calibri" w:cs="Calibri"/>
          <w:sz w:val="24"/>
          <w:szCs w:val="24"/>
          <w:lang w:val="pl-PL"/>
        </w:rPr>
        <w:t>budownictwa mieszkaniowego</w:t>
      </w:r>
      <w:r>
        <w:rPr>
          <w:rFonts w:ascii="Calibri" w:eastAsia="Times New Roman" w:hAnsi="Calibri" w:cs="Calibri"/>
          <w:sz w:val="24"/>
          <w:szCs w:val="24"/>
        </w:rPr>
        <w:t xml:space="preserve"> w zakończonym 20</w:t>
      </w:r>
      <w:r>
        <w:rPr>
          <w:rFonts w:ascii="Calibri" w:eastAsia="Times New Roman" w:hAnsi="Calibri" w:cs="Calibri"/>
          <w:sz w:val="24"/>
          <w:szCs w:val="24"/>
          <w:lang w:val="pl-PL"/>
        </w:rPr>
        <w:t>20</w:t>
      </w:r>
      <w:r>
        <w:rPr>
          <w:rFonts w:ascii="Calibri" w:eastAsia="Times New Roman" w:hAnsi="Calibri" w:cs="Calibri"/>
          <w:sz w:val="24"/>
          <w:szCs w:val="24"/>
        </w:rPr>
        <w:t xml:space="preserve"> roku</w:t>
      </w:r>
      <w:r>
        <w:rPr>
          <w:rFonts w:ascii="Calibri" w:eastAsia="Times New Roman" w:hAnsi="Calibri" w:cs="Calibri"/>
          <w:sz w:val="24"/>
          <w:szCs w:val="24"/>
          <w:lang w:val="pl-PL"/>
        </w:rPr>
        <w:t xml:space="preserve">, z pewnością nie budzi większych zastrzeżeń co do stanu rynkowej koniunktury z inwestycyjnego punktu widzenia. </w:t>
      </w:r>
    </w:p>
    <w:p w14:paraId="682D67D5" w14:textId="77777777" w:rsidR="00EE12FA" w:rsidRDefault="00EE12FA" w:rsidP="00EE12FA">
      <w:pPr>
        <w:shd w:val="clear" w:color="auto" w:fill="FFFFFF"/>
        <w:spacing w:before="120" w:after="120"/>
        <w:rPr>
          <w:rFonts w:ascii="Calibri" w:eastAsia="Times New Roman" w:hAnsi="Calibri" w:cs="Calibri"/>
          <w:sz w:val="24"/>
          <w:szCs w:val="24"/>
          <w:lang w:val="pl-PL"/>
        </w:rPr>
      </w:pPr>
      <w:r>
        <w:rPr>
          <w:rFonts w:ascii="Calibri" w:eastAsia="Times New Roman" w:hAnsi="Calibri" w:cs="Calibri"/>
          <w:sz w:val="24"/>
          <w:szCs w:val="24"/>
          <w:lang w:val="pl-PL"/>
        </w:rPr>
        <w:t>Tym razem najmocniejszym punktem sprawozdania okazały się rekordowe dane dotyczące mieszkań oddanych do użytkowania, lepsze o równe 7 proc. rok do roku ogółem, a w przypadku deweloperów prawie o jedną dziesiątą.</w:t>
      </w:r>
    </w:p>
    <w:p w14:paraId="30F553BC" w14:textId="77777777" w:rsidR="00EE12FA" w:rsidRDefault="00EE12FA" w:rsidP="00EE12FA">
      <w:pPr>
        <w:shd w:val="clear" w:color="auto" w:fill="FFFFFF"/>
        <w:spacing w:before="120" w:after="120" w:line="225" w:lineRule="atLeast"/>
        <w:rPr>
          <w:rFonts w:ascii="Calibri" w:eastAsia="Times New Roman" w:hAnsi="Calibri" w:cs="Calibri"/>
          <w:bCs/>
          <w:sz w:val="24"/>
          <w:szCs w:val="24"/>
          <w:lang w:val="pl-PL"/>
        </w:rPr>
      </w:pPr>
      <w:r>
        <w:rPr>
          <w:rFonts w:ascii="Calibri" w:eastAsia="Times New Roman" w:hAnsi="Calibri" w:cs="Calibri"/>
          <w:bCs/>
          <w:sz w:val="24"/>
          <w:szCs w:val="24"/>
        </w:rPr>
        <w:t xml:space="preserve">Statystyki mieszkań oddawanych do użytku nie zależą jednak od aktualnej sytuacji rynkowej, ale są efektem stanu koniunktury sprzed około dwóch lat, a wiec okresu odpowiadającego </w:t>
      </w:r>
      <w:r>
        <w:rPr>
          <w:rFonts w:ascii="Calibri" w:eastAsia="Times New Roman" w:hAnsi="Calibri" w:cs="Calibri"/>
          <w:bCs/>
          <w:sz w:val="24"/>
          <w:szCs w:val="24"/>
          <w:lang w:val="pl-PL"/>
        </w:rPr>
        <w:t xml:space="preserve">etapowi budowlanemu </w:t>
      </w:r>
      <w:r>
        <w:rPr>
          <w:rFonts w:ascii="Calibri" w:eastAsia="Times New Roman" w:hAnsi="Calibri" w:cs="Calibri"/>
          <w:bCs/>
          <w:sz w:val="24"/>
          <w:szCs w:val="24"/>
        </w:rPr>
        <w:t>cykl</w:t>
      </w:r>
      <w:r>
        <w:rPr>
          <w:rFonts w:ascii="Calibri" w:eastAsia="Times New Roman" w:hAnsi="Calibri" w:cs="Calibri"/>
          <w:bCs/>
          <w:sz w:val="24"/>
          <w:szCs w:val="24"/>
          <w:lang w:val="pl-PL"/>
        </w:rPr>
        <w:t>u</w:t>
      </w:r>
      <w:r>
        <w:rPr>
          <w:rFonts w:ascii="Calibri" w:eastAsia="Times New Roman" w:hAnsi="Calibri" w:cs="Calibri"/>
          <w:bCs/>
          <w:sz w:val="24"/>
          <w:szCs w:val="24"/>
        </w:rPr>
        <w:t xml:space="preserve"> inwestycyjne</w:t>
      </w:r>
      <w:r>
        <w:rPr>
          <w:rFonts w:ascii="Calibri" w:eastAsia="Times New Roman" w:hAnsi="Calibri" w:cs="Calibri"/>
          <w:bCs/>
          <w:sz w:val="24"/>
          <w:szCs w:val="24"/>
          <w:lang w:val="pl-PL"/>
        </w:rPr>
        <w:t>go w mieszkaniówce.</w:t>
      </w:r>
      <w:r>
        <w:rPr>
          <w:rFonts w:ascii="Calibri" w:eastAsia="Times New Roman" w:hAnsi="Calibri" w:cs="Calibri"/>
          <w:bCs/>
          <w:sz w:val="24"/>
          <w:szCs w:val="24"/>
        </w:rPr>
        <w:t xml:space="preserve"> </w:t>
      </w:r>
      <w:r>
        <w:rPr>
          <w:rFonts w:ascii="Calibri" w:eastAsia="Times New Roman" w:hAnsi="Calibri" w:cs="Calibri"/>
          <w:bCs/>
          <w:sz w:val="24"/>
          <w:szCs w:val="24"/>
          <w:lang w:val="pl-PL"/>
        </w:rPr>
        <w:t xml:space="preserve">Stąd ich wartość analityczna czy prognostyczna jest nieco ograniczona. </w:t>
      </w:r>
    </w:p>
    <w:p w14:paraId="4E9A28B7" w14:textId="77777777" w:rsidR="00EE12FA" w:rsidRDefault="00EE12FA" w:rsidP="00EE12FA">
      <w:pPr>
        <w:shd w:val="clear" w:color="auto" w:fill="FFFFFF"/>
        <w:spacing w:before="120" w:after="120" w:line="225" w:lineRule="atLeast"/>
        <w:rPr>
          <w:rFonts w:ascii="Calibri" w:eastAsia="Times New Roman" w:hAnsi="Calibri" w:cs="Calibri"/>
          <w:bCs/>
          <w:sz w:val="24"/>
          <w:szCs w:val="24"/>
          <w:lang w:val="pl-PL"/>
        </w:rPr>
      </w:pPr>
      <w:r>
        <w:rPr>
          <w:rFonts w:ascii="Calibri" w:eastAsia="Times New Roman" w:hAnsi="Calibri" w:cs="Calibri"/>
          <w:bCs/>
          <w:sz w:val="24"/>
          <w:szCs w:val="24"/>
          <w:lang w:val="pl-PL"/>
        </w:rPr>
        <w:t>Znacznie większe znaczenie dla oceny bieżącego stanu koniunktury i jej perspektyw mają dane dotyczące mieszkań rozpoczętych i nowych pozwoleń na budowę. Tu ogromną niespodzianką jest gigantyczny, przekraczający 25 tys. jednostek grudniowy wynik pozwoleń deweloperskich. To zapewne pokłosie zmian warunków technicznych w 2021 r. W efekcie także i ta kategoria danych zaowocowała rekordowymi wolumenami.</w:t>
      </w:r>
    </w:p>
    <w:p w14:paraId="0B18D105" w14:textId="77777777" w:rsidR="00EE12FA" w:rsidRDefault="00EE12FA" w:rsidP="00EE12FA">
      <w:pPr>
        <w:shd w:val="clear" w:color="auto" w:fill="FFFFFF"/>
        <w:spacing w:before="120" w:after="120" w:line="225" w:lineRule="atLeast"/>
        <w:rPr>
          <w:rFonts w:ascii="Calibri" w:eastAsia="Times New Roman" w:hAnsi="Calibri" w:cs="Calibri"/>
          <w:bCs/>
          <w:sz w:val="24"/>
          <w:szCs w:val="24"/>
          <w:lang w:val="pl-PL"/>
        </w:rPr>
      </w:pPr>
      <w:r>
        <w:rPr>
          <w:rFonts w:ascii="Calibri" w:eastAsia="Times New Roman" w:hAnsi="Calibri" w:cs="Calibri"/>
          <w:bCs/>
          <w:sz w:val="24"/>
          <w:szCs w:val="24"/>
          <w:lang w:val="pl-PL"/>
        </w:rPr>
        <w:t xml:space="preserve">Z kolei w przypadku mieszkań rozpoczętych inwestorzy indywidualni ruszyli w ub. roku z identyczną ilością budów co rok wcześniej, natomiast deweloperzy zanotowali ich spadek </w:t>
      </w:r>
      <w:proofErr w:type="spellStart"/>
      <w:r>
        <w:rPr>
          <w:rFonts w:ascii="Calibri" w:eastAsia="Times New Roman" w:hAnsi="Calibri" w:cs="Calibri"/>
          <w:bCs/>
          <w:sz w:val="24"/>
          <w:szCs w:val="24"/>
          <w:lang w:val="pl-PL"/>
        </w:rPr>
        <w:t>rdr</w:t>
      </w:r>
      <w:proofErr w:type="spellEnd"/>
      <w:r>
        <w:rPr>
          <w:rFonts w:ascii="Calibri" w:eastAsia="Times New Roman" w:hAnsi="Calibri" w:cs="Calibri"/>
          <w:bCs/>
          <w:sz w:val="24"/>
          <w:szCs w:val="24"/>
          <w:lang w:val="pl-PL"/>
        </w:rPr>
        <w:t xml:space="preserve"> rzędu 8 proc., a więc raczej symboliczny. Jeśli dodatkowo uwzględnić rekordowo wysoką bazę roku 2019 oraz ubiegłoroczne środowisko gospodarcze pogrążone w recesji wywołanej przez COVID, to otrzymamy obraz koniunktury inwestycyjnej pierwotnego segmentu mieszkaniówki w postaci „zielonej wyspy” rodzimej gospodarki. Pytanie, czy aby na pewno jest to jednoznacznie optymistyczny sygnał dla rynkowych perspektyw roku bieżącego.</w:t>
      </w:r>
    </w:p>
    <w:p w14:paraId="57F258FA" w14:textId="77777777" w:rsidR="00755E6D" w:rsidRDefault="00EE12FA" w:rsidP="00EE12FA">
      <w:pPr>
        <w:shd w:val="clear" w:color="auto" w:fill="FFFFFF"/>
        <w:spacing w:before="120" w:after="120" w:line="225" w:lineRule="atLeast"/>
        <w:rPr>
          <w:rFonts w:ascii="Calibri" w:eastAsia="Times New Roman" w:hAnsi="Calibri" w:cs="Calibri"/>
          <w:bCs/>
          <w:sz w:val="24"/>
          <w:szCs w:val="24"/>
          <w:lang w:val="pl-PL"/>
        </w:rPr>
      </w:pPr>
      <w:r>
        <w:rPr>
          <w:rFonts w:ascii="Calibri" w:eastAsia="Times New Roman" w:hAnsi="Calibri" w:cs="Calibri"/>
          <w:bCs/>
          <w:sz w:val="24"/>
          <w:szCs w:val="24"/>
          <w:lang w:val="pl-PL"/>
        </w:rPr>
        <w:t xml:space="preserve">Niestety regres deweloperskiej kontraktacji w roku 2020 okazał się istotnie głębszy od spadków wolumenów nowych budów, wynosząc wg. danych portalu RynekPierwotny.pl w 2020 roku dla całego kraju ponad 12 proc. Biorąc pod uwagę pozostałe dwie kategorie danych GUS, oznacza to dość wyraźne wyprzedzenie parametrów koniunktury inwestycyjnej w stosunku do sprzedażowej. A to może być wstępnym sygnałem ryzyka kreowania niebezpiecznego dla stanu rynkowej równowagi nawisu podażowego. Jeśli popyt na nowe mieszkania nie ulegnie szybkiej rekonstrukcji do poziomów sprzed pandemii, pewne ograniczenie produkcji mieszkań deweloperskich stanie się przesądzone. I prawdopodobnie taki scenariusz, co najmniej kilkuprocentowych spadków inwestycyjnych statystyk deweloperki mieszkaniowej, należy przyjąć w bezpośredniej perspektywie 2021 roku za bazowy. </w:t>
      </w:r>
    </w:p>
    <w:p w14:paraId="16A30C05" w14:textId="77777777" w:rsidR="00755E6D" w:rsidRDefault="00755E6D" w:rsidP="00EE12FA">
      <w:pPr>
        <w:shd w:val="clear" w:color="auto" w:fill="FFFFFF"/>
        <w:spacing w:before="120" w:after="120" w:line="225" w:lineRule="atLeast"/>
        <w:rPr>
          <w:rFonts w:ascii="Calibri" w:eastAsia="Times New Roman" w:hAnsi="Calibri" w:cs="Calibri"/>
          <w:bCs/>
          <w:sz w:val="24"/>
          <w:szCs w:val="24"/>
          <w:lang w:val="pl-PL"/>
        </w:rPr>
      </w:pPr>
    </w:p>
    <w:p w14:paraId="1AAF21B3" w14:textId="074C569A" w:rsidR="00EE12FA" w:rsidRPr="00EE12FA" w:rsidRDefault="00EE12FA" w:rsidP="00EE12FA">
      <w:pPr>
        <w:shd w:val="clear" w:color="auto" w:fill="FFFFFF"/>
        <w:spacing w:before="120" w:after="120" w:line="225" w:lineRule="atLeast"/>
        <w:rPr>
          <w:rFonts w:ascii="Calibri" w:eastAsia="Times New Roman" w:hAnsi="Calibri" w:cs="Calibri"/>
          <w:bCs/>
          <w:sz w:val="24"/>
          <w:szCs w:val="24"/>
          <w:lang w:val="pl-PL"/>
        </w:rPr>
      </w:pPr>
      <w:r>
        <w:rPr>
          <w:rFonts w:ascii="Calibri" w:eastAsia="Times New Roman" w:hAnsi="Calibri" w:cs="Calibri"/>
          <w:bCs/>
          <w:sz w:val="24"/>
          <w:szCs w:val="24"/>
          <w:lang w:val="pl-PL"/>
        </w:rPr>
        <w:t xml:space="preserve"> </w:t>
      </w:r>
    </w:p>
    <w:p w14:paraId="38626DD1" w14:textId="77777777" w:rsidR="00EE12FA" w:rsidRPr="00042E97" w:rsidRDefault="00EE12FA" w:rsidP="00153679">
      <w:pPr>
        <w:rPr>
          <w:rFonts w:asciiTheme="minorHAnsi" w:hAnsiTheme="minorHAnsi" w:cstheme="minorHAnsi"/>
          <w:sz w:val="24"/>
          <w:szCs w:val="24"/>
          <w:shd w:val="clear" w:color="auto" w:fill="FFFFFF"/>
          <w:lang w:val="pl-PL"/>
        </w:rPr>
      </w:pPr>
    </w:p>
    <w:p w14:paraId="1063010E" w14:textId="3E57F723" w:rsidR="00042E97" w:rsidRPr="00042E97" w:rsidRDefault="00042E97" w:rsidP="00153679">
      <w:pPr>
        <w:rPr>
          <w:rFonts w:asciiTheme="minorHAnsi" w:hAnsiTheme="minorHAnsi" w:cstheme="minorHAnsi"/>
          <w:b/>
          <w:bCs/>
          <w:sz w:val="24"/>
          <w:szCs w:val="24"/>
          <w:shd w:val="clear" w:color="auto" w:fill="FFFFFF"/>
          <w:lang w:val="pl-PL"/>
        </w:rPr>
      </w:pPr>
      <w:r w:rsidRPr="00042E97">
        <w:rPr>
          <w:rFonts w:asciiTheme="minorHAnsi" w:hAnsiTheme="minorHAnsi" w:cstheme="minorHAnsi"/>
          <w:b/>
          <w:bCs/>
          <w:sz w:val="24"/>
          <w:szCs w:val="24"/>
          <w:shd w:val="clear" w:color="auto" w:fill="FFFFFF"/>
          <w:lang w:val="pl-PL"/>
        </w:rPr>
        <w:lastRenderedPageBreak/>
        <w:t>Marek Wielgo, ekspert GetHome.pl</w:t>
      </w:r>
    </w:p>
    <w:p w14:paraId="58EC8C55" w14:textId="77777777" w:rsidR="00042E97" w:rsidRPr="00042E97" w:rsidRDefault="00042E97" w:rsidP="00153679">
      <w:pPr>
        <w:rPr>
          <w:rFonts w:asciiTheme="minorHAnsi" w:hAnsiTheme="minorHAnsi" w:cstheme="minorHAnsi"/>
          <w:sz w:val="24"/>
          <w:szCs w:val="24"/>
          <w:shd w:val="clear" w:color="auto" w:fill="FFFFFF"/>
          <w:lang w:val="pl-PL"/>
        </w:rPr>
      </w:pPr>
    </w:p>
    <w:p w14:paraId="2D69BBC7" w14:textId="24D10981" w:rsidR="00F23A0C" w:rsidRDefault="00F23A0C" w:rsidP="00F23A0C">
      <w:pPr>
        <w:rPr>
          <w:rFonts w:asciiTheme="minorHAnsi" w:hAnsiTheme="minorHAnsi" w:cstheme="minorHAnsi"/>
          <w:sz w:val="24"/>
          <w:szCs w:val="24"/>
          <w:lang w:val="pl-PL"/>
        </w:rPr>
      </w:pPr>
      <w:r>
        <w:rPr>
          <w:rFonts w:asciiTheme="minorHAnsi" w:hAnsiTheme="minorHAnsi" w:cstheme="minorHAnsi"/>
          <w:sz w:val="24"/>
          <w:szCs w:val="24"/>
          <w:shd w:val="clear" w:color="auto" w:fill="FFFFFF"/>
          <w:lang w:val="pl-PL"/>
        </w:rPr>
        <w:t>Ubiegłoroczne wyniki budownictwa czynszowego</w:t>
      </w:r>
      <w:r w:rsidRPr="00F23A0C">
        <w:rPr>
          <w:rFonts w:asciiTheme="minorHAnsi" w:hAnsiTheme="minorHAnsi" w:cstheme="minorHAnsi"/>
          <w:sz w:val="24"/>
          <w:szCs w:val="24"/>
          <w:shd w:val="clear" w:color="auto" w:fill="FFFFFF"/>
        </w:rPr>
        <w:t> </w:t>
      </w:r>
      <w:r>
        <w:rPr>
          <w:rFonts w:asciiTheme="minorHAnsi" w:hAnsiTheme="minorHAnsi" w:cstheme="minorHAnsi"/>
          <w:sz w:val="24"/>
          <w:szCs w:val="24"/>
          <w:shd w:val="clear" w:color="auto" w:fill="FFFFFF"/>
          <w:lang w:val="pl-PL"/>
        </w:rPr>
        <w:t xml:space="preserve">świadczą o tym, że </w:t>
      </w:r>
      <w:r w:rsidRPr="00F23A0C">
        <w:rPr>
          <w:rFonts w:asciiTheme="minorHAnsi" w:hAnsiTheme="minorHAnsi" w:cstheme="minorHAnsi"/>
          <w:sz w:val="24"/>
          <w:szCs w:val="24"/>
          <w:shd w:val="clear" w:color="auto" w:fill="FFFFFF"/>
        </w:rPr>
        <w:t xml:space="preserve">na liście priorytetów </w:t>
      </w:r>
      <w:r>
        <w:rPr>
          <w:rFonts w:asciiTheme="minorHAnsi" w:hAnsiTheme="minorHAnsi" w:cstheme="minorHAnsi"/>
          <w:sz w:val="24"/>
          <w:szCs w:val="24"/>
          <w:shd w:val="clear" w:color="auto" w:fill="FFFFFF"/>
          <w:lang w:val="pl-PL"/>
        </w:rPr>
        <w:t xml:space="preserve">inwestycyjnych ogromnej większości </w:t>
      </w:r>
      <w:r w:rsidRPr="00F23A0C">
        <w:rPr>
          <w:rFonts w:asciiTheme="minorHAnsi" w:hAnsiTheme="minorHAnsi" w:cstheme="minorHAnsi"/>
          <w:sz w:val="24"/>
          <w:szCs w:val="24"/>
          <w:shd w:val="clear" w:color="auto" w:fill="FFFFFF"/>
        </w:rPr>
        <w:t>gmin</w:t>
      </w:r>
      <w:r>
        <w:rPr>
          <w:rFonts w:asciiTheme="minorHAnsi" w:hAnsiTheme="minorHAnsi" w:cstheme="minorHAnsi"/>
          <w:sz w:val="24"/>
          <w:szCs w:val="24"/>
          <w:shd w:val="clear" w:color="auto" w:fill="FFFFFF"/>
          <w:lang w:val="pl-PL"/>
        </w:rPr>
        <w:t xml:space="preserve"> wciąż nie ma </w:t>
      </w:r>
      <w:r w:rsidRPr="00F23A0C">
        <w:rPr>
          <w:rFonts w:asciiTheme="minorHAnsi" w:hAnsiTheme="minorHAnsi" w:cstheme="minorHAnsi"/>
          <w:sz w:val="24"/>
          <w:szCs w:val="24"/>
          <w:shd w:val="clear" w:color="auto" w:fill="FFFFFF"/>
        </w:rPr>
        <w:t xml:space="preserve">mieszkań komunalnych </w:t>
      </w:r>
      <w:r>
        <w:rPr>
          <w:rFonts w:asciiTheme="minorHAnsi" w:hAnsiTheme="minorHAnsi" w:cstheme="minorHAnsi"/>
          <w:sz w:val="24"/>
          <w:szCs w:val="24"/>
          <w:shd w:val="clear" w:color="auto" w:fill="FFFFFF"/>
          <w:lang w:val="pl-PL"/>
        </w:rPr>
        <w:t>i</w:t>
      </w:r>
      <w:r w:rsidRPr="00F23A0C">
        <w:rPr>
          <w:rFonts w:asciiTheme="minorHAnsi" w:hAnsiTheme="minorHAnsi" w:cstheme="minorHAnsi"/>
          <w:sz w:val="24"/>
          <w:szCs w:val="24"/>
          <w:shd w:val="clear" w:color="auto" w:fill="FFFFFF"/>
        </w:rPr>
        <w:t xml:space="preserve"> społecznych czynszowych</w:t>
      </w:r>
      <w:r>
        <w:rPr>
          <w:rFonts w:asciiTheme="minorHAnsi" w:hAnsiTheme="minorHAnsi" w:cstheme="minorHAnsi"/>
          <w:sz w:val="24"/>
          <w:szCs w:val="24"/>
          <w:shd w:val="clear" w:color="auto" w:fill="FFFFFF"/>
          <w:lang w:val="pl-PL"/>
        </w:rPr>
        <w:t>. Pandemia COVID-19 nie jest tu żadnym wytłumaczeniem</w:t>
      </w:r>
      <w:r w:rsidR="00DA5E5B">
        <w:rPr>
          <w:rFonts w:asciiTheme="minorHAnsi" w:hAnsiTheme="minorHAnsi" w:cstheme="minorHAnsi"/>
          <w:sz w:val="24"/>
          <w:szCs w:val="24"/>
          <w:shd w:val="clear" w:color="auto" w:fill="FFFFFF"/>
          <w:lang w:val="pl-PL"/>
        </w:rPr>
        <w:t>, bo decyzje o budowie zapadały dużo wcześniej</w:t>
      </w:r>
      <w:r>
        <w:rPr>
          <w:rFonts w:asciiTheme="minorHAnsi" w:hAnsiTheme="minorHAnsi" w:cstheme="minorHAnsi"/>
          <w:sz w:val="24"/>
          <w:szCs w:val="24"/>
          <w:shd w:val="clear" w:color="auto" w:fill="FFFFFF"/>
          <w:lang w:val="pl-PL"/>
        </w:rPr>
        <w:t xml:space="preserve">. Wprawdzie niektóre </w:t>
      </w:r>
      <w:r w:rsidRPr="00F23A0C">
        <w:rPr>
          <w:rFonts w:asciiTheme="minorHAnsi" w:hAnsiTheme="minorHAnsi" w:cstheme="minorHAnsi"/>
          <w:sz w:val="24"/>
          <w:szCs w:val="24"/>
        </w:rPr>
        <w:t>gminy remontują swo</w:t>
      </w:r>
      <w:r>
        <w:rPr>
          <w:rFonts w:asciiTheme="minorHAnsi" w:hAnsiTheme="minorHAnsi" w:cstheme="minorHAnsi"/>
          <w:sz w:val="24"/>
          <w:szCs w:val="24"/>
          <w:lang w:val="pl-PL"/>
        </w:rPr>
        <w:t>je</w:t>
      </w:r>
      <w:r w:rsidRPr="00F23A0C">
        <w:rPr>
          <w:rFonts w:asciiTheme="minorHAnsi" w:hAnsiTheme="minorHAnsi" w:cstheme="minorHAnsi"/>
          <w:sz w:val="24"/>
          <w:szCs w:val="24"/>
        </w:rPr>
        <w:t xml:space="preserve"> star</w:t>
      </w:r>
      <w:r>
        <w:rPr>
          <w:rFonts w:asciiTheme="minorHAnsi" w:hAnsiTheme="minorHAnsi" w:cstheme="minorHAnsi"/>
          <w:sz w:val="24"/>
          <w:szCs w:val="24"/>
          <w:lang w:val="pl-PL"/>
        </w:rPr>
        <w:t>e</w:t>
      </w:r>
      <w:r w:rsidRPr="00F23A0C">
        <w:rPr>
          <w:rFonts w:asciiTheme="minorHAnsi" w:hAnsiTheme="minorHAnsi" w:cstheme="minorHAnsi"/>
          <w:sz w:val="24"/>
          <w:szCs w:val="24"/>
        </w:rPr>
        <w:t xml:space="preserve"> zasob</w:t>
      </w:r>
      <w:r>
        <w:rPr>
          <w:rFonts w:asciiTheme="minorHAnsi" w:hAnsiTheme="minorHAnsi" w:cstheme="minorHAnsi"/>
          <w:sz w:val="24"/>
          <w:szCs w:val="24"/>
          <w:lang w:val="pl-PL"/>
        </w:rPr>
        <w:t xml:space="preserve">y </w:t>
      </w:r>
      <w:r w:rsidRPr="00F23A0C">
        <w:rPr>
          <w:rFonts w:asciiTheme="minorHAnsi" w:hAnsiTheme="minorHAnsi" w:cstheme="minorHAnsi"/>
          <w:sz w:val="24"/>
          <w:szCs w:val="24"/>
        </w:rPr>
        <w:t>mieszkaniow</w:t>
      </w:r>
      <w:r>
        <w:rPr>
          <w:rFonts w:asciiTheme="minorHAnsi" w:hAnsiTheme="minorHAnsi" w:cstheme="minorHAnsi"/>
          <w:sz w:val="24"/>
          <w:szCs w:val="24"/>
          <w:lang w:val="pl-PL"/>
        </w:rPr>
        <w:t>e. Nie ma jednak statystyk, które pokazywałyby skalę tego typu inwestycji. Prawdopodobnie nie jest ona duża i dotyczy co najwyżej kilkudziesięciu miast, m.in. Gdańska i Warszawy.</w:t>
      </w:r>
    </w:p>
    <w:p w14:paraId="25969BB8" w14:textId="7FBCFA0A" w:rsidR="00F23A0C" w:rsidRPr="00F23A0C" w:rsidRDefault="00F23A0C" w:rsidP="00F23A0C">
      <w:pPr>
        <w:rPr>
          <w:rFonts w:asciiTheme="minorHAnsi" w:hAnsiTheme="minorHAnsi" w:cstheme="minorHAnsi"/>
          <w:sz w:val="24"/>
          <w:szCs w:val="24"/>
          <w:shd w:val="clear" w:color="auto" w:fill="FFFFFF"/>
          <w:lang w:val="pl-PL"/>
        </w:rPr>
      </w:pPr>
      <w:r>
        <w:rPr>
          <w:rFonts w:asciiTheme="minorHAnsi" w:hAnsiTheme="minorHAnsi" w:cstheme="minorHAnsi"/>
          <w:sz w:val="24"/>
          <w:szCs w:val="24"/>
          <w:lang w:val="pl-PL"/>
        </w:rPr>
        <w:t>Najbliższe dwa lata pokażą</w:t>
      </w:r>
      <w:r w:rsidRPr="00F23A0C">
        <w:rPr>
          <w:rFonts w:asciiTheme="minorHAnsi" w:hAnsiTheme="minorHAnsi" w:cstheme="minorHAnsi"/>
          <w:sz w:val="24"/>
          <w:szCs w:val="24"/>
          <w:lang w:val="pl-PL"/>
        </w:rPr>
        <w:t xml:space="preserve">, czy samorządowcy zmienią takie podejście, dzięki nowym rozwiązaniom i wsparciu finansowemu, które zaproponował im rząd w uchwalonych w ubiegłym roku ustawach. Np. ustawa </w:t>
      </w:r>
      <w:r w:rsidRPr="00F23A0C">
        <w:rPr>
          <w:rFonts w:asciiTheme="minorHAnsi" w:hAnsiTheme="minorHAnsi" w:cstheme="minorHAnsi"/>
          <w:sz w:val="24"/>
          <w:szCs w:val="24"/>
          <w:shd w:val="clear" w:color="auto" w:fill="FFFFFF"/>
        </w:rPr>
        <w:t>„o zmianie niektórych ustaw wspierających rozwój mieszkalnictwa”</w:t>
      </w:r>
      <w:r w:rsidRPr="00F23A0C">
        <w:rPr>
          <w:rFonts w:asciiTheme="minorHAnsi" w:hAnsiTheme="minorHAnsi" w:cstheme="minorHAnsi"/>
          <w:sz w:val="24"/>
          <w:szCs w:val="24"/>
          <w:shd w:val="clear" w:color="auto" w:fill="FFFFFF"/>
          <w:lang w:val="pl-PL"/>
        </w:rPr>
        <w:t xml:space="preserve"> zwiększyła dofinansowanie gminnych </w:t>
      </w:r>
      <w:r w:rsidRPr="00F23A0C">
        <w:rPr>
          <w:rFonts w:asciiTheme="minorHAnsi" w:hAnsiTheme="minorHAnsi" w:cstheme="minorHAnsi"/>
          <w:sz w:val="24"/>
          <w:szCs w:val="24"/>
          <w:lang w:val="pl-PL"/>
        </w:rPr>
        <w:t xml:space="preserve">przedsięwzięć mieszkaniowych. </w:t>
      </w:r>
      <w:r w:rsidR="00DA5E5B">
        <w:rPr>
          <w:rFonts w:asciiTheme="minorHAnsi" w:hAnsiTheme="minorHAnsi" w:cstheme="minorHAnsi"/>
          <w:sz w:val="24"/>
          <w:szCs w:val="24"/>
          <w:lang w:val="pl-PL"/>
        </w:rPr>
        <w:t>Poza tym w</w:t>
      </w:r>
      <w:r>
        <w:rPr>
          <w:rFonts w:asciiTheme="minorHAnsi" w:hAnsiTheme="minorHAnsi" w:cstheme="minorHAnsi"/>
          <w:sz w:val="24"/>
          <w:szCs w:val="24"/>
          <w:lang w:val="pl-PL"/>
        </w:rPr>
        <w:t xml:space="preserve">ygląda na to, że w budżecie państwa są zarezerwowane pieniądze </w:t>
      </w:r>
      <w:r w:rsidRPr="00F23A0C">
        <w:rPr>
          <w:rFonts w:asciiTheme="minorHAnsi" w:hAnsiTheme="minorHAnsi" w:cstheme="minorHAnsi"/>
          <w:sz w:val="24"/>
          <w:szCs w:val="24"/>
          <w:shd w:val="clear" w:color="auto" w:fill="FFFFFF"/>
        </w:rPr>
        <w:t xml:space="preserve">na </w:t>
      </w:r>
      <w:r>
        <w:rPr>
          <w:rFonts w:asciiTheme="minorHAnsi" w:hAnsiTheme="minorHAnsi" w:cstheme="minorHAnsi"/>
          <w:sz w:val="24"/>
          <w:szCs w:val="24"/>
          <w:shd w:val="clear" w:color="auto" w:fill="FFFFFF"/>
          <w:lang w:val="pl-PL"/>
        </w:rPr>
        <w:t>ten cel</w:t>
      </w:r>
      <w:r w:rsidRPr="00F23A0C">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lang w:val="pl-PL"/>
        </w:rPr>
        <w:t xml:space="preserve"> </w:t>
      </w:r>
      <w:r w:rsidRPr="00F23A0C">
        <w:rPr>
          <w:rFonts w:asciiTheme="minorHAnsi" w:hAnsiTheme="minorHAnsi" w:cstheme="minorHAnsi"/>
          <w:sz w:val="24"/>
          <w:szCs w:val="24"/>
          <w:shd w:val="clear" w:color="auto" w:fill="FFFFFF"/>
          <w:lang w:val="pl-PL"/>
        </w:rPr>
        <w:t xml:space="preserve"> </w:t>
      </w:r>
      <w:r w:rsidR="00DA5E5B">
        <w:rPr>
          <w:rFonts w:asciiTheme="minorHAnsi" w:hAnsiTheme="minorHAnsi" w:cstheme="minorHAnsi"/>
          <w:sz w:val="24"/>
          <w:szCs w:val="24"/>
          <w:shd w:val="clear" w:color="auto" w:fill="FFFFFF"/>
          <w:lang w:val="pl-PL"/>
        </w:rPr>
        <w:t xml:space="preserve">Wystarczy więc </w:t>
      </w:r>
      <w:r>
        <w:rPr>
          <w:rFonts w:asciiTheme="minorHAnsi" w:hAnsiTheme="minorHAnsi" w:cstheme="minorHAnsi"/>
          <w:sz w:val="24"/>
          <w:szCs w:val="24"/>
          <w:shd w:val="clear" w:color="auto" w:fill="FFFFFF"/>
          <w:lang w:val="pl-PL"/>
        </w:rPr>
        <w:t xml:space="preserve">tylko po nie </w:t>
      </w:r>
      <w:r w:rsidR="00DA5E5B">
        <w:rPr>
          <w:rFonts w:asciiTheme="minorHAnsi" w:hAnsiTheme="minorHAnsi" w:cstheme="minorHAnsi"/>
          <w:sz w:val="24"/>
          <w:szCs w:val="24"/>
          <w:shd w:val="clear" w:color="auto" w:fill="FFFFFF"/>
          <w:lang w:val="pl-PL"/>
        </w:rPr>
        <w:t>sięgnąć</w:t>
      </w:r>
      <w:r>
        <w:rPr>
          <w:rFonts w:asciiTheme="minorHAnsi" w:hAnsiTheme="minorHAnsi" w:cstheme="minorHAnsi"/>
          <w:sz w:val="24"/>
          <w:szCs w:val="24"/>
          <w:shd w:val="clear" w:color="auto" w:fill="FFFFFF"/>
          <w:lang w:val="pl-PL"/>
        </w:rPr>
        <w:t xml:space="preserve">.  </w:t>
      </w:r>
    </w:p>
    <w:p w14:paraId="119B0210" w14:textId="5B61A292" w:rsidR="00153679" w:rsidRPr="00042E97" w:rsidRDefault="00513FDC" w:rsidP="00021081">
      <w:pPr>
        <w:rPr>
          <w:rFonts w:asciiTheme="minorHAnsi" w:hAnsiTheme="minorHAnsi" w:cstheme="minorHAnsi"/>
          <w:sz w:val="24"/>
          <w:szCs w:val="24"/>
          <w:lang w:eastAsia="pl-PL"/>
        </w:rPr>
      </w:pPr>
      <w:r>
        <w:rPr>
          <w:rFonts w:asciiTheme="minorHAnsi" w:hAnsiTheme="minorHAnsi" w:cstheme="minorHAnsi"/>
          <w:sz w:val="24"/>
          <w:szCs w:val="24"/>
          <w:lang w:val="pl-PL"/>
        </w:rPr>
        <w:t xml:space="preserve">Według niektórych ekspertów </w:t>
      </w:r>
      <w:r w:rsidR="00F23A0C">
        <w:rPr>
          <w:rFonts w:asciiTheme="minorHAnsi" w:hAnsiTheme="minorHAnsi" w:cstheme="minorHAnsi"/>
          <w:sz w:val="24"/>
          <w:szCs w:val="24"/>
          <w:lang w:val="pl-PL"/>
        </w:rPr>
        <w:t xml:space="preserve">2020 r. miał zapoczątkować szybki rozwój </w:t>
      </w:r>
      <w:r>
        <w:rPr>
          <w:rFonts w:asciiTheme="minorHAnsi" w:hAnsiTheme="minorHAnsi" w:cstheme="minorHAnsi"/>
          <w:sz w:val="24"/>
          <w:szCs w:val="24"/>
          <w:lang w:val="pl-PL"/>
        </w:rPr>
        <w:t>rynku najmu instytucjonalnego</w:t>
      </w:r>
      <w:r w:rsidR="00F23A0C">
        <w:rPr>
          <w:rFonts w:asciiTheme="minorHAnsi" w:hAnsiTheme="minorHAnsi" w:cstheme="minorHAnsi"/>
          <w:sz w:val="24"/>
          <w:szCs w:val="24"/>
          <w:lang w:val="pl-PL"/>
        </w:rPr>
        <w:t xml:space="preserve">. Efekty są jednak </w:t>
      </w:r>
      <w:r w:rsidR="00737720">
        <w:rPr>
          <w:rFonts w:asciiTheme="minorHAnsi" w:hAnsiTheme="minorHAnsi" w:cstheme="minorHAnsi"/>
          <w:sz w:val="24"/>
          <w:szCs w:val="24"/>
          <w:lang w:val="pl-PL"/>
        </w:rPr>
        <w:t xml:space="preserve">na razie </w:t>
      </w:r>
      <w:r w:rsidR="00F23A0C">
        <w:rPr>
          <w:rFonts w:asciiTheme="minorHAnsi" w:hAnsiTheme="minorHAnsi" w:cstheme="minorHAnsi"/>
          <w:sz w:val="24"/>
          <w:szCs w:val="24"/>
          <w:lang w:val="pl-PL"/>
        </w:rPr>
        <w:t>mizerne. GUS</w:t>
      </w:r>
      <w:r w:rsidR="00737720">
        <w:rPr>
          <w:rFonts w:asciiTheme="minorHAnsi" w:hAnsiTheme="minorHAnsi" w:cstheme="minorHAnsi"/>
          <w:sz w:val="24"/>
          <w:szCs w:val="24"/>
          <w:lang w:val="pl-PL"/>
        </w:rPr>
        <w:t xml:space="preserve"> podał, że </w:t>
      </w:r>
      <w:r w:rsidR="00F23A0C">
        <w:rPr>
          <w:rFonts w:asciiTheme="minorHAnsi" w:hAnsiTheme="minorHAnsi" w:cstheme="minorHAnsi"/>
          <w:sz w:val="24"/>
          <w:szCs w:val="24"/>
          <w:lang w:val="pl-PL"/>
        </w:rPr>
        <w:t xml:space="preserve"> </w:t>
      </w:r>
      <w:r w:rsidRPr="00513FDC">
        <w:rPr>
          <w:rFonts w:asciiTheme="minorHAnsi" w:hAnsiTheme="minorHAnsi" w:cstheme="minorHAnsi"/>
          <w:sz w:val="24"/>
          <w:szCs w:val="24"/>
        </w:rPr>
        <w:t xml:space="preserve">inwestorzy instytucjonalni </w:t>
      </w:r>
      <w:r>
        <w:rPr>
          <w:rFonts w:asciiTheme="minorHAnsi" w:hAnsiTheme="minorHAnsi" w:cstheme="minorHAnsi"/>
          <w:sz w:val="24"/>
          <w:szCs w:val="24"/>
          <w:lang w:val="pl-PL"/>
        </w:rPr>
        <w:t xml:space="preserve">oddali do użytkowania </w:t>
      </w:r>
      <w:r w:rsidR="00530FBB">
        <w:rPr>
          <w:rFonts w:asciiTheme="minorHAnsi" w:hAnsiTheme="minorHAnsi" w:cstheme="minorHAnsi"/>
          <w:sz w:val="24"/>
          <w:szCs w:val="24"/>
          <w:lang w:val="pl-PL"/>
        </w:rPr>
        <w:t>1343</w:t>
      </w:r>
      <w:r>
        <w:rPr>
          <w:rFonts w:asciiTheme="minorHAnsi" w:hAnsiTheme="minorHAnsi" w:cstheme="minorHAnsi"/>
          <w:sz w:val="24"/>
          <w:szCs w:val="24"/>
          <w:lang w:val="pl-PL"/>
        </w:rPr>
        <w:t xml:space="preserve"> mieszka</w:t>
      </w:r>
      <w:r w:rsidR="00530FBB">
        <w:rPr>
          <w:rFonts w:asciiTheme="minorHAnsi" w:hAnsiTheme="minorHAnsi" w:cstheme="minorHAnsi"/>
          <w:sz w:val="24"/>
          <w:szCs w:val="24"/>
          <w:lang w:val="pl-PL"/>
        </w:rPr>
        <w:t>nia</w:t>
      </w:r>
      <w:r>
        <w:rPr>
          <w:rFonts w:asciiTheme="minorHAnsi" w:hAnsiTheme="minorHAnsi" w:cstheme="minorHAnsi"/>
          <w:sz w:val="24"/>
          <w:szCs w:val="24"/>
          <w:lang w:val="pl-PL"/>
        </w:rPr>
        <w:t xml:space="preserve"> na wynajem, czyli o </w:t>
      </w:r>
      <w:r w:rsidR="00530FBB">
        <w:rPr>
          <w:rFonts w:asciiTheme="minorHAnsi" w:hAnsiTheme="minorHAnsi" w:cstheme="minorHAnsi"/>
          <w:sz w:val="24"/>
          <w:szCs w:val="24"/>
          <w:lang w:val="pl-PL"/>
        </w:rPr>
        <w:t>35</w:t>
      </w:r>
      <w:r>
        <w:rPr>
          <w:rFonts w:asciiTheme="minorHAnsi" w:hAnsiTheme="minorHAnsi" w:cstheme="minorHAnsi"/>
          <w:sz w:val="24"/>
          <w:szCs w:val="24"/>
          <w:lang w:val="pl-PL"/>
        </w:rPr>
        <w:t xml:space="preserve">% mniej niż rok wcześniej. Nie widać też wzrostu w statystykach dotyczących rozpoczętych inwestycji. </w:t>
      </w:r>
      <w:r w:rsidR="00530FBB">
        <w:rPr>
          <w:rFonts w:asciiTheme="minorHAnsi" w:hAnsiTheme="minorHAnsi" w:cstheme="minorHAnsi"/>
          <w:sz w:val="24"/>
          <w:szCs w:val="24"/>
          <w:lang w:val="pl-PL"/>
        </w:rPr>
        <w:t>1241</w:t>
      </w:r>
      <w:r>
        <w:rPr>
          <w:rFonts w:asciiTheme="minorHAnsi" w:hAnsiTheme="minorHAnsi" w:cstheme="minorHAnsi"/>
          <w:sz w:val="24"/>
          <w:szCs w:val="24"/>
          <w:lang w:val="pl-PL"/>
        </w:rPr>
        <w:t xml:space="preserve"> mieszkań to </w:t>
      </w:r>
      <w:r w:rsidR="00530FBB">
        <w:rPr>
          <w:rFonts w:asciiTheme="minorHAnsi" w:hAnsiTheme="minorHAnsi" w:cstheme="minorHAnsi"/>
          <w:sz w:val="24"/>
          <w:szCs w:val="24"/>
          <w:lang w:val="pl-PL"/>
        </w:rPr>
        <w:t>5% spadek</w:t>
      </w:r>
      <w:r>
        <w:rPr>
          <w:rFonts w:asciiTheme="minorHAnsi" w:hAnsiTheme="minorHAnsi" w:cstheme="minorHAnsi"/>
          <w:sz w:val="24"/>
          <w:szCs w:val="24"/>
          <w:lang w:val="pl-PL"/>
        </w:rPr>
        <w:t xml:space="preserve">. </w:t>
      </w:r>
      <w:r w:rsidR="00021081">
        <w:rPr>
          <w:rFonts w:asciiTheme="minorHAnsi" w:hAnsiTheme="minorHAnsi" w:cstheme="minorHAnsi"/>
          <w:sz w:val="24"/>
          <w:szCs w:val="24"/>
          <w:lang w:val="pl-PL"/>
        </w:rPr>
        <w:t xml:space="preserve">Z pewnością </w:t>
      </w:r>
      <w:r>
        <w:rPr>
          <w:rFonts w:asciiTheme="minorHAnsi" w:hAnsiTheme="minorHAnsi" w:cstheme="minorHAnsi"/>
          <w:sz w:val="24"/>
          <w:szCs w:val="24"/>
          <w:lang w:val="pl-PL"/>
        </w:rPr>
        <w:t xml:space="preserve">szyki inwestorom popsuła pandemia COVID-19.  </w:t>
      </w:r>
      <w:r w:rsidR="00021081" w:rsidRPr="00021081">
        <w:rPr>
          <w:rFonts w:asciiTheme="minorHAnsi" w:hAnsiTheme="minorHAnsi" w:cstheme="minorHAnsi"/>
          <w:sz w:val="24"/>
          <w:szCs w:val="24"/>
        </w:rPr>
        <w:t>Jeśli wypali operacja szczepień, na rynek wrócą najemcy</w:t>
      </w:r>
      <w:r w:rsidR="00021081">
        <w:rPr>
          <w:rFonts w:asciiTheme="minorHAnsi" w:hAnsiTheme="minorHAnsi" w:cstheme="minorHAnsi"/>
          <w:sz w:val="24"/>
          <w:szCs w:val="24"/>
          <w:lang w:val="pl-PL"/>
        </w:rPr>
        <w:t xml:space="preserve">, nie tylko </w:t>
      </w:r>
      <w:r w:rsidR="00021081" w:rsidRPr="00021081">
        <w:rPr>
          <w:rFonts w:asciiTheme="minorHAnsi" w:hAnsiTheme="minorHAnsi" w:cstheme="minorHAnsi"/>
          <w:sz w:val="24"/>
          <w:szCs w:val="24"/>
        </w:rPr>
        <w:t>studenci</w:t>
      </w:r>
      <w:r w:rsidR="00021081">
        <w:rPr>
          <w:rFonts w:asciiTheme="minorHAnsi" w:hAnsiTheme="minorHAnsi" w:cstheme="minorHAnsi"/>
          <w:sz w:val="24"/>
          <w:szCs w:val="24"/>
          <w:lang w:val="pl-PL"/>
        </w:rPr>
        <w:t xml:space="preserve">, ale też </w:t>
      </w:r>
      <w:r w:rsidR="00021081" w:rsidRPr="00021081">
        <w:rPr>
          <w:rFonts w:asciiTheme="minorHAnsi" w:hAnsiTheme="minorHAnsi" w:cstheme="minorHAnsi"/>
          <w:sz w:val="24"/>
          <w:szCs w:val="24"/>
        </w:rPr>
        <w:t xml:space="preserve">ci, którzy </w:t>
      </w:r>
      <w:r w:rsidR="00021081">
        <w:rPr>
          <w:rFonts w:asciiTheme="minorHAnsi" w:hAnsiTheme="minorHAnsi" w:cstheme="minorHAnsi"/>
          <w:sz w:val="24"/>
          <w:szCs w:val="24"/>
          <w:lang w:val="pl-PL"/>
        </w:rPr>
        <w:t xml:space="preserve">mają już dość </w:t>
      </w:r>
      <w:r w:rsidR="00021081" w:rsidRPr="00021081">
        <w:rPr>
          <w:rFonts w:asciiTheme="minorHAnsi" w:hAnsiTheme="minorHAnsi" w:cstheme="minorHAnsi"/>
          <w:sz w:val="24"/>
          <w:szCs w:val="24"/>
        </w:rPr>
        <w:t xml:space="preserve">pracy zdalnej z dala od atrakcji, które oferują im miasta. No i deweloperzy dojrzeją do decyzji o budowie mieszkań dla funduszy inwestujących w mieszkania na wynajem. </w:t>
      </w:r>
      <w:r w:rsidR="00021081">
        <w:rPr>
          <w:rFonts w:asciiTheme="minorHAnsi" w:hAnsiTheme="minorHAnsi" w:cstheme="minorHAnsi"/>
          <w:sz w:val="24"/>
          <w:szCs w:val="24"/>
          <w:lang w:val="pl-PL"/>
        </w:rPr>
        <w:t>S</w:t>
      </w:r>
      <w:r w:rsidR="00021081" w:rsidRPr="00021081">
        <w:rPr>
          <w:rFonts w:asciiTheme="minorHAnsi" w:hAnsiTheme="minorHAnsi" w:cstheme="minorHAnsi"/>
          <w:sz w:val="24"/>
          <w:szCs w:val="24"/>
        </w:rPr>
        <w:t>padek czynsz</w:t>
      </w:r>
      <w:r w:rsidR="00021081">
        <w:rPr>
          <w:rFonts w:asciiTheme="minorHAnsi" w:hAnsiTheme="minorHAnsi" w:cstheme="minorHAnsi"/>
          <w:sz w:val="24"/>
          <w:szCs w:val="24"/>
          <w:lang w:val="pl-PL"/>
        </w:rPr>
        <w:t>ów</w:t>
      </w:r>
      <w:r w:rsidR="00021081" w:rsidRPr="00021081">
        <w:rPr>
          <w:rFonts w:asciiTheme="minorHAnsi" w:hAnsiTheme="minorHAnsi" w:cstheme="minorHAnsi"/>
          <w:sz w:val="24"/>
          <w:szCs w:val="24"/>
        </w:rPr>
        <w:t xml:space="preserve"> może być zrekompensowany niższymi kosztami budowy (prefabrykacja) oraz efektywniejszym projektowaniem i zarządzaniem. </w:t>
      </w:r>
      <w:r w:rsidR="00021081">
        <w:rPr>
          <w:rFonts w:asciiTheme="minorHAnsi" w:hAnsiTheme="minorHAnsi" w:cstheme="minorHAnsi"/>
          <w:sz w:val="24"/>
          <w:szCs w:val="24"/>
          <w:lang w:val="pl-PL"/>
        </w:rPr>
        <w:t>R</w:t>
      </w:r>
      <w:r w:rsidR="00021081" w:rsidRPr="00021081">
        <w:rPr>
          <w:rFonts w:asciiTheme="minorHAnsi" w:hAnsiTheme="minorHAnsi" w:cstheme="minorHAnsi"/>
          <w:sz w:val="24"/>
          <w:szCs w:val="24"/>
        </w:rPr>
        <w:t xml:space="preserve">ozwój rynku </w:t>
      </w:r>
      <w:r w:rsidR="00021081">
        <w:rPr>
          <w:rFonts w:asciiTheme="minorHAnsi" w:hAnsiTheme="minorHAnsi" w:cstheme="minorHAnsi"/>
          <w:sz w:val="24"/>
          <w:szCs w:val="24"/>
          <w:lang w:val="pl-PL"/>
        </w:rPr>
        <w:t xml:space="preserve">mieszkań na wynajem instytucjonalny </w:t>
      </w:r>
      <w:r w:rsidR="00021081" w:rsidRPr="00021081">
        <w:rPr>
          <w:rFonts w:asciiTheme="minorHAnsi" w:hAnsiTheme="minorHAnsi" w:cstheme="minorHAnsi"/>
          <w:sz w:val="24"/>
          <w:szCs w:val="24"/>
        </w:rPr>
        <w:t>to wieloletni proces. Ważne, że się rozpoczął.</w:t>
      </w:r>
    </w:p>
    <w:p w14:paraId="485DCA39" w14:textId="77777777" w:rsidR="00DC3B93" w:rsidRDefault="00DC3B93"/>
    <w:sectPr w:rsidR="00DC3B93">
      <w:headerReference w:type="even" r:id="rId10"/>
      <w:headerReference w:type="default" r:id="rId11"/>
      <w:footerReference w:type="default" r:id="rId12"/>
      <w:headerReference w:type="first" r:id="rId13"/>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59B1" w14:textId="77777777" w:rsidR="00D20664" w:rsidRDefault="00D20664">
      <w:r>
        <w:separator/>
      </w:r>
    </w:p>
  </w:endnote>
  <w:endnote w:type="continuationSeparator" w:id="0">
    <w:p w14:paraId="187B246E" w14:textId="77777777" w:rsidR="00D20664" w:rsidRDefault="00D2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6E48" w14:textId="6646299F" w:rsidR="00F731AE" w:rsidRDefault="00153679">
    <w:pPr>
      <w:pStyle w:val="Stopka"/>
      <w:rPr>
        <w:sz w:val="16"/>
        <w:szCs w:val="16"/>
      </w:rPr>
    </w:pPr>
    <w:r>
      <w:rPr>
        <w:noProof/>
        <w:lang w:eastAsia="pl-PL"/>
      </w:rPr>
      <mc:AlternateContent>
        <mc:Choice Requires="wps">
          <w:drawing>
            <wp:anchor distT="0" distB="0" distL="114300" distR="114300" simplePos="0" relativeHeight="251664384" behindDoc="0" locked="0" layoutInCell="1" allowOverlap="1" wp14:anchorId="5B6550EE" wp14:editId="72349507">
              <wp:simplePos x="0" y="0"/>
              <wp:positionH relativeFrom="column">
                <wp:posOffset>0</wp:posOffset>
              </wp:positionH>
              <wp:positionV relativeFrom="paragraph">
                <wp:posOffset>70485</wp:posOffset>
              </wp:positionV>
              <wp:extent cx="6624955" cy="0"/>
              <wp:effectExtent l="9525" t="13335" r="13970" b="571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9525" algn="ctr">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CC7867" id="Łącznik prost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5pt" to="521.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" strokecolor="#7030a0"/>
          </w:pict>
        </mc:Fallback>
      </mc:AlternateContent>
    </w:r>
  </w:p>
  <w:p w14:paraId="562E8DC8" w14:textId="636F32E2" w:rsidR="00F731AE" w:rsidRDefault="00153679">
    <w:pPr>
      <w:pStyle w:val="Stopka"/>
      <w:jc w:val="center"/>
      <w:rPr>
        <w:sz w:val="16"/>
        <w:szCs w:val="16"/>
      </w:rPr>
    </w:pPr>
    <w:r>
      <w:rPr>
        <w:noProof/>
        <w:lang w:eastAsia="pl-PL"/>
      </w:rPr>
      <mc:AlternateContent>
        <mc:Choice Requires="wps">
          <w:drawing>
            <wp:anchor distT="0" distB="0" distL="114300" distR="114300" simplePos="0" relativeHeight="251662336" behindDoc="0" locked="0" layoutInCell="1" allowOverlap="1" wp14:anchorId="58DE9798" wp14:editId="0BAF6981">
              <wp:simplePos x="0" y="0"/>
              <wp:positionH relativeFrom="column">
                <wp:posOffset>-76200</wp:posOffset>
              </wp:positionH>
              <wp:positionV relativeFrom="paragraph">
                <wp:posOffset>39370</wp:posOffset>
              </wp:positionV>
              <wp:extent cx="6701790" cy="5905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590550"/>
                      </a:xfrm>
                      <a:prstGeom prst="rect">
                        <a:avLst/>
                      </a:prstGeom>
                      <a:noFill/>
                      <a:ln w="9525">
                        <a:noFill/>
                        <a:miter lim="800000"/>
                        <a:headEnd/>
                        <a:tailEnd/>
                      </a:ln>
                    </wps:spPr>
                    <wps:txbx>
                      <w:txbxContent>
                        <w:p w14:paraId="4038A27A" w14:textId="77777777" w:rsidR="00F731AE" w:rsidRDefault="00153679">
                          <w:pPr>
                            <w:jc w:val="center"/>
                            <w:rPr>
                              <w:color w:val="808080"/>
                              <w:sz w:val="16"/>
                              <w:szCs w:val="16"/>
                              <w:lang w:val="pl-PL"/>
                            </w:rPr>
                          </w:pPr>
                          <w:r>
                            <w:rPr>
                              <w:color w:val="808080"/>
                              <w:sz w:val="16"/>
                              <w:szCs w:val="16"/>
                              <w:lang w:val="pl-PL"/>
                            </w:rPr>
                            <w:t xml:space="preserve">Wydawca serwisu www.gethome.pl jest </w:t>
                          </w:r>
                          <w:proofErr w:type="spellStart"/>
                          <w:r>
                            <w:rPr>
                              <w:color w:val="808080"/>
                              <w:sz w:val="16"/>
                              <w:szCs w:val="16"/>
                              <w:lang w:val="pl-PL"/>
                            </w:rPr>
                            <w:t>Property</w:t>
                          </w:r>
                          <w:proofErr w:type="spellEnd"/>
                          <w:r>
                            <w:rPr>
                              <w:color w:val="808080"/>
                              <w:sz w:val="16"/>
                              <w:szCs w:val="16"/>
                              <w:lang w:val="pl-PL"/>
                            </w:rPr>
                            <w:t xml:space="preserve"> </w:t>
                          </w:r>
                          <w:proofErr w:type="spellStart"/>
                          <w:r>
                            <w:rPr>
                              <w:color w:val="808080"/>
                              <w:sz w:val="16"/>
                              <w:szCs w:val="16"/>
                              <w:lang w:val="pl-PL"/>
                            </w:rPr>
                            <w:t>Group</w:t>
                          </w:r>
                          <w:proofErr w:type="spellEnd"/>
                          <w:r>
                            <w:rPr>
                              <w:color w:val="808080"/>
                              <w:sz w:val="16"/>
                              <w:szCs w:val="16"/>
                              <w:lang w:val="pl-PL"/>
                            </w:rPr>
                            <w:t xml:space="preserve"> Sp. z o.o. ul. A. Naruszewicza 27/101, 02-627 Warszawa</w:t>
                          </w:r>
                        </w:p>
                        <w:p w14:paraId="57BDEADA" w14:textId="77777777" w:rsidR="00F731AE" w:rsidRDefault="00153679">
                          <w:pPr>
                            <w:jc w:val="center"/>
                            <w:rPr>
                              <w:color w:val="808080"/>
                              <w:sz w:val="16"/>
                              <w:szCs w:val="16"/>
                              <w:lang w:val="pl-PL"/>
                            </w:rPr>
                          </w:pPr>
                          <w:r>
                            <w:rPr>
                              <w:color w:val="808080"/>
                              <w:sz w:val="16"/>
                              <w:szCs w:val="16"/>
                              <w:lang w:val="pl-PL"/>
                            </w:rPr>
                            <w:t>REGON 141961782, NIP 5213538080. Spółka jest zarejestrowana przez Sąd Rejonowy dla m.st. Warszawy w Warszawie,</w:t>
                          </w:r>
                        </w:p>
                        <w:p w14:paraId="2BE78071" w14:textId="77777777" w:rsidR="00F731AE" w:rsidRDefault="00153679">
                          <w:pPr>
                            <w:jc w:val="center"/>
                            <w:rPr>
                              <w:color w:val="808080"/>
                              <w:sz w:val="16"/>
                              <w:szCs w:val="16"/>
                              <w:lang w:val="pl-PL"/>
                            </w:rPr>
                          </w:pPr>
                          <w:r>
                            <w:rPr>
                              <w:color w:val="808080"/>
                              <w:sz w:val="16"/>
                              <w:szCs w:val="16"/>
                              <w:lang w:val="pl-PL"/>
                            </w:rPr>
                            <w:t>XIII Wydział Gospodarczy Krajowego Rejestru Sądowego pod numerem KRS 0000335123. Kapitał zakładowy w wysokości 50 000 zł.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9798" id="_x0000_t202" coordsize="21600,21600" o:spt="202" path="m,l,21600r21600,l21600,xe">
              <v:stroke joinstyle="miter"/>
              <v:path gradientshapeok="t" o:connecttype="rect"/>
            </v:shapetype>
            <v:shape id="Pole tekstowe 2" o:spid="_x0000_s1027" type="#_x0000_t202" style="position:absolute;left:0;text-align:left;margin-left:-6pt;margin-top:3.1pt;width:527.7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" filled="f" stroked="f">
              <v:textbox>
                <w:txbxContent>
                  <w:p w14:paraId="4038A27A" w14:textId="77777777" w:rsidR="00F731AE" w:rsidRDefault="00153679">
                    <w:pPr>
                      <w:jc w:val="center"/>
                      <w:rPr>
                        <w:color w:val="808080"/>
                        <w:sz w:val="16"/>
                        <w:szCs w:val="16"/>
                        <w:lang w:val="pl-PL"/>
                      </w:rPr>
                    </w:pPr>
                    <w:r>
                      <w:rPr>
                        <w:color w:val="808080"/>
                        <w:sz w:val="16"/>
                        <w:szCs w:val="16"/>
                        <w:lang w:val="pl-PL"/>
                      </w:rPr>
                      <w:t xml:space="preserve">Wydawca serwisu www.gethome.pl jest </w:t>
                    </w:r>
                    <w:proofErr w:type="spellStart"/>
                    <w:r>
                      <w:rPr>
                        <w:color w:val="808080"/>
                        <w:sz w:val="16"/>
                        <w:szCs w:val="16"/>
                        <w:lang w:val="pl-PL"/>
                      </w:rPr>
                      <w:t>Property</w:t>
                    </w:r>
                    <w:proofErr w:type="spellEnd"/>
                    <w:r>
                      <w:rPr>
                        <w:color w:val="808080"/>
                        <w:sz w:val="16"/>
                        <w:szCs w:val="16"/>
                        <w:lang w:val="pl-PL"/>
                      </w:rPr>
                      <w:t xml:space="preserve"> </w:t>
                    </w:r>
                    <w:proofErr w:type="spellStart"/>
                    <w:r>
                      <w:rPr>
                        <w:color w:val="808080"/>
                        <w:sz w:val="16"/>
                        <w:szCs w:val="16"/>
                        <w:lang w:val="pl-PL"/>
                      </w:rPr>
                      <w:t>Group</w:t>
                    </w:r>
                    <w:proofErr w:type="spellEnd"/>
                    <w:r>
                      <w:rPr>
                        <w:color w:val="808080"/>
                        <w:sz w:val="16"/>
                        <w:szCs w:val="16"/>
                        <w:lang w:val="pl-PL"/>
                      </w:rPr>
                      <w:t xml:space="preserve"> Sp. z o.o. ul. A. Naruszewicza 27/101, 02-627 Warszawa</w:t>
                    </w:r>
                  </w:p>
                  <w:p w14:paraId="57BDEADA" w14:textId="77777777" w:rsidR="00F731AE" w:rsidRDefault="00153679">
                    <w:pPr>
                      <w:jc w:val="center"/>
                      <w:rPr>
                        <w:color w:val="808080"/>
                        <w:sz w:val="16"/>
                        <w:szCs w:val="16"/>
                        <w:lang w:val="pl-PL"/>
                      </w:rPr>
                    </w:pPr>
                    <w:r>
                      <w:rPr>
                        <w:color w:val="808080"/>
                        <w:sz w:val="16"/>
                        <w:szCs w:val="16"/>
                        <w:lang w:val="pl-PL"/>
                      </w:rPr>
                      <w:t>REGON 141961782, NIP 5213538080. Spółka jest zarejestrowana przez Sąd Rejonowy dla m.st. Warszawy w Warszawie,</w:t>
                    </w:r>
                  </w:p>
                  <w:p w14:paraId="2BE78071" w14:textId="77777777" w:rsidR="00F731AE" w:rsidRDefault="00153679">
                    <w:pPr>
                      <w:jc w:val="center"/>
                      <w:rPr>
                        <w:color w:val="808080"/>
                        <w:sz w:val="16"/>
                        <w:szCs w:val="16"/>
                        <w:lang w:val="pl-PL"/>
                      </w:rPr>
                    </w:pPr>
                    <w:r>
                      <w:rPr>
                        <w:color w:val="808080"/>
                        <w:sz w:val="16"/>
                        <w:szCs w:val="16"/>
                        <w:lang w:val="pl-PL"/>
                      </w:rPr>
                      <w:t>XIII Wydział Gospodarczy Krajowego Rejestru Sądowego pod numerem KRS 0000335123. Kapitał zakładowy w wysokości 50 000 zł.</w:t>
                    </w:r>
                  </w:p>
                </w:txbxContent>
              </v:textbox>
            </v:shape>
          </w:pict>
        </mc:Fallback>
      </mc:AlternateContent>
    </w:r>
  </w:p>
  <w:p w14:paraId="53021263" w14:textId="77777777" w:rsidR="00F731AE" w:rsidRDefault="00D20664">
    <w:pPr>
      <w:pStyle w:val="Stopka"/>
      <w:jc w:val="center"/>
      <w:rPr>
        <w:sz w:val="16"/>
        <w:szCs w:val="16"/>
      </w:rPr>
    </w:pPr>
  </w:p>
  <w:p w14:paraId="11884CEA" w14:textId="77777777" w:rsidR="00F731AE" w:rsidRDefault="00D20664">
    <w:pPr>
      <w:pStyle w:val="Stopka"/>
      <w:rPr>
        <w:sz w:val="16"/>
        <w:szCs w:val="16"/>
      </w:rPr>
    </w:pPr>
  </w:p>
  <w:p w14:paraId="34FB6488" w14:textId="77777777" w:rsidR="00F731AE" w:rsidRDefault="00D20664">
    <w:pPr>
      <w:pStyle w:val="Stopka"/>
      <w:rPr>
        <w:sz w:val="16"/>
        <w:szCs w:val="16"/>
      </w:rPr>
    </w:pPr>
  </w:p>
  <w:p w14:paraId="2B4C7FBD" w14:textId="77777777" w:rsidR="00F731AE" w:rsidRDefault="00D20664">
    <w:pPr>
      <w:pStyle w:val="Stopka"/>
      <w:tabs>
        <w:tab w:val="clear" w:pos="4536"/>
        <w:tab w:val="clear" w:pos="9072"/>
        <w:tab w:val="left" w:pos="38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243D" w14:textId="77777777" w:rsidR="00D20664" w:rsidRDefault="00D20664">
      <w:r>
        <w:separator/>
      </w:r>
    </w:p>
  </w:footnote>
  <w:footnote w:type="continuationSeparator" w:id="0">
    <w:p w14:paraId="39BB04A7" w14:textId="77777777" w:rsidR="00D20664" w:rsidRDefault="00D2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D190" w14:textId="77777777" w:rsidR="00F731AE" w:rsidRDefault="00D20664">
    <w:pPr>
      <w:pStyle w:val="Nagwek"/>
    </w:pPr>
    <w:r>
      <w:rPr>
        <w:lang w:eastAsia="ru-RU"/>
      </w:rPr>
      <w:pict w14:anchorId="02AAD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27192" o:spid="_x0000_s2050" type="#_x0000_t75" style="position:absolute;left:0;text-align:left;margin-left:0;margin-top:0;width:731.7pt;height:98.3pt;z-index:-251656192;mso-position-horizontal:center;mso-position-horizontal-relative:margin;mso-position-vertical:center;mso-position-vertical-relative:margin" o:allowincell="f">
          <v:imagedata r:id="rId1" o:title="stop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373" w14:textId="1DF800AB" w:rsidR="00F731AE" w:rsidRDefault="00755E6D">
    <w:pPr>
      <w:pStyle w:val="Nagwek"/>
      <w:rPr>
        <w:lang w:eastAsia="pl-PL"/>
      </w:rPr>
    </w:pPr>
    <w:r>
      <w:rPr>
        <w:noProof/>
        <w:lang w:eastAsia="pl-PL"/>
      </w:rPr>
      <mc:AlternateContent>
        <mc:Choice Requires="wps">
          <w:drawing>
            <wp:anchor distT="0" distB="0" distL="114300" distR="114300" simplePos="0" relativeHeight="251661312" behindDoc="0" locked="0" layoutInCell="1" allowOverlap="1" wp14:anchorId="701F1C8B" wp14:editId="60BC24F8">
              <wp:simplePos x="0" y="0"/>
              <wp:positionH relativeFrom="column">
                <wp:posOffset>4905375</wp:posOffset>
              </wp:positionH>
              <wp:positionV relativeFrom="paragraph">
                <wp:posOffset>-15875</wp:posOffset>
              </wp:positionV>
              <wp:extent cx="1823085" cy="638175"/>
              <wp:effectExtent l="0" t="0" r="0" b="0"/>
              <wp:wrapSquare wrapText="bothSides"/>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38175"/>
                      </a:xfrm>
                      <a:prstGeom prst="rect">
                        <a:avLst/>
                      </a:prstGeom>
                      <a:noFill/>
                      <a:ln w="9525">
                        <a:noFill/>
                        <a:miter lim="800000"/>
                        <a:headEnd/>
                        <a:tailEnd/>
                      </a:ln>
                    </wps:spPr>
                    <wps:txbx>
                      <w:txbxContent>
                        <w:p w14:paraId="5EF71219" w14:textId="04F221FF" w:rsidR="00F731AE" w:rsidRDefault="00755E6D">
                          <w:pPr>
                            <w:jc w:val="right"/>
                            <w:rPr>
                              <w:color w:val="808080"/>
                              <w:sz w:val="16"/>
                              <w:szCs w:val="16"/>
                              <w:lang w:val="pl-PL"/>
                            </w:rPr>
                          </w:pPr>
                          <w:r>
                            <w:rPr>
                              <w:b/>
                              <w:color w:val="7030A0"/>
                              <w:sz w:val="16"/>
                              <w:szCs w:val="16"/>
                              <w:lang w:val="pl-PL"/>
                            </w:rPr>
                            <w:t>RynekPierwotny.pl/</w:t>
                          </w:r>
                          <w:r w:rsidR="00153679" w:rsidRPr="000F3171">
                            <w:rPr>
                              <w:b/>
                              <w:color w:val="7030A0"/>
                              <w:sz w:val="16"/>
                              <w:szCs w:val="16"/>
                              <w:lang w:val="pl-PL"/>
                            </w:rPr>
                            <w:t>Gethome.pl</w:t>
                          </w:r>
                          <w:r w:rsidR="00153679">
                            <w:rPr>
                              <w:b/>
                              <w:color w:val="CC0066"/>
                              <w:sz w:val="16"/>
                              <w:szCs w:val="16"/>
                              <w:lang w:val="pl-PL"/>
                            </w:rPr>
                            <w:br/>
                          </w:r>
                          <w:r w:rsidR="00153679">
                            <w:rPr>
                              <w:color w:val="808080"/>
                              <w:sz w:val="16"/>
                              <w:szCs w:val="16"/>
                              <w:lang w:val="pl-PL"/>
                            </w:rPr>
                            <w:t>ul. A. Naruszewicza 27/101</w:t>
                          </w:r>
                        </w:p>
                        <w:p w14:paraId="477E40AB" w14:textId="77777777" w:rsidR="00F731AE" w:rsidRDefault="00153679">
                          <w:pPr>
                            <w:jc w:val="right"/>
                            <w:rPr>
                              <w:color w:val="808080"/>
                              <w:sz w:val="16"/>
                              <w:szCs w:val="16"/>
                              <w:lang w:val="pl-PL"/>
                            </w:rPr>
                          </w:pPr>
                          <w:r>
                            <w:rPr>
                              <w:color w:val="808080"/>
                              <w:sz w:val="16"/>
                              <w:szCs w:val="16"/>
                              <w:lang w:val="pl-PL"/>
                            </w:rPr>
                            <w:t>02-627 Warszawa</w:t>
                          </w:r>
                        </w:p>
                        <w:p w14:paraId="5183B610" w14:textId="77777777" w:rsidR="00F731AE" w:rsidRDefault="00D20664">
                          <w:pPr>
                            <w:jc w:val="right"/>
                            <w:rPr>
                              <w:color w:val="808080"/>
                              <w:sz w:val="16"/>
                              <w:szCs w:val="16"/>
                              <w:lang w:val="pl-PL"/>
                            </w:rPr>
                          </w:pPr>
                        </w:p>
                        <w:p w14:paraId="374E2EB0" w14:textId="144544FB" w:rsidR="00F731AE" w:rsidRDefault="00D20664">
                          <w:pPr>
                            <w:jc w:val="right"/>
                            <w:rPr>
                              <w:color w:val="808080"/>
                              <w:sz w:val="16"/>
                              <w:szCs w:val="16"/>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1C8B" id="_x0000_t202" coordsize="21600,21600" o:spt="202" path="m,l,21600r21600,l21600,xe">
              <v:stroke joinstyle="miter"/>
              <v:path gradientshapeok="t" o:connecttype="rect"/>
            </v:shapetype>
            <v:shape id="Pole tekstowe 307" o:spid="_x0000_s1026" type="#_x0000_t202" style="position:absolute;left:0;text-align:left;margin-left:386.25pt;margin-top:-1.25pt;width:143.5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" filled="f" stroked="f">
              <v:textbox>
                <w:txbxContent>
                  <w:p w14:paraId="5EF71219" w14:textId="04F221FF" w:rsidR="00F731AE" w:rsidRDefault="00755E6D">
                    <w:pPr>
                      <w:jc w:val="right"/>
                      <w:rPr>
                        <w:color w:val="808080"/>
                        <w:sz w:val="16"/>
                        <w:szCs w:val="16"/>
                        <w:lang w:val="pl-PL"/>
                      </w:rPr>
                    </w:pPr>
                    <w:r>
                      <w:rPr>
                        <w:b/>
                        <w:color w:val="7030A0"/>
                        <w:sz w:val="16"/>
                        <w:szCs w:val="16"/>
                        <w:lang w:val="pl-PL"/>
                      </w:rPr>
                      <w:t>RynekPierwotny.pl/</w:t>
                    </w:r>
                    <w:r w:rsidR="00153679" w:rsidRPr="000F3171">
                      <w:rPr>
                        <w:b/>
                        <w:color w:val="7030A0"/>
                        <w:sz w:val="16"/>
                        <w:szCs w:val="16"/>
                        <w:lang w:val="pl-PL"/>
                      </w:rPr>
                      <w:t>Gethome.pl</w:t>
                    </w:r>
                    <w:r w:rsidR="00153679">
                      <w:rPr>
                        <w:b/>
                        <w:color w:val="CC0066"/>
                        <w:sz w:val="16"/>
                        <w:szCs w:val="16"/>
                        <w:lang w:val="pl-PL"/>
                      </w:rPr>
                      <w:br/>
                    </w:r>
                    <w:r w:rsidR="00153679">
                      <w:rPr>
                        <w:color w:val="808080"/>
                        <w:sz w:val="16"/>
                        <w:szCs w:val="16"/>
                        <w:lang w:val="pl-PL"/>
                      </w:rPr>
                      <w:t>ul. A. Naruszewicza 27/101</w:t>
                    </w:r>
                  </w:p>
                  <w:p w14:paraId="477E40AB" w14:textId="77777777" w:rsidR="00F731AE" w:rsidRDefault="00153679">
                    <w:pPr>
                      <w:jc w:val="right"/>
                      <w:rPr>
                        <w:color w:val="808080"/>
                        <w:sz w:val="16"/>
                        <w:szCs w:val="16"/>
                        <w:lang w:val="pl-PL"/>
                      </w:rPr>
                    </w:pPr>
                    <w:r>
                      <w:rPr>
                        <w:color w:val="808080"/>
                        <w:sz w:val="16"/>
                        <w:szCs w:val="16"/>
                        <w:lang w:val="pl-PL"/>
                      </w:rPr>
                      <w:t>02-627 Warszawa</w:t>
                    </w:r>
                  </w:p>
                  <w:p w14:paraId="5183B610" w14:textId="77777777" w:rsidR="00F731AE" w:rsidRDefault="00D20664">
                    <w:pPr>
                      <w:jc w:val="right"/>
                      <w:rPr>
                        <w:color w:val="808080"/>
                        <w:sz w:val="16"/>
                        <w:szCs w:val="16"/>
                        <w:lang w:val="pl-PL"/>
                      </w:rPr>
                    </w:pPr>
                  </w:p>
                  <w:p w14:paraId="374E2EB0" w14:textId="144544FB" w:rsidR="00F731AE" w:rsidRDefault="00D20664">
                    <w:pPr>
                      <w:jc w:val="right"/>
                      <w:rPr>
                        <w:color w:val="808080"/>
                        <w:sz w:val="16"/>
                        <w:szCs w:val="16"/>
                        <w:lang w:val="pl-PL"/>
                      </w:rPr>
                    </w:pPr>
                  </w:p>
                </w:txbxContent>
              </v:textbox>
              <w10:wrap type="square"/>
            </v:shape>
          </w:pict>
        </mc:Fallback>
      </mc:AlternateContent>
    </w:r>
    <w:r w:rsidR="00153679">
      <w:rPr>
        <w:noProof/>
        <w:lang w:eastAsia="pl-PL"/>
      </w:rPr>
      <w:drawing>
        <wp:inline distT="0" distB="0" distL="0" distR="0" wp14:anchorId="0AA10986" wp14:editId="657CDEC8">
          <wp:extent cx="1962150" cy="494558"/>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00" cy="509920"/>
                  </a:xfrm>
                  <a:prstGeom prst="rect">
                    <a:avLst/>
                  </a:prstGeom>
                  <a:noFill/>
                  <a:ln>
                    <a:noFill/>
                  </a:ln>
                </pic:spPr>
              </pic:pic>
            </a:graphicData>
          </a:graphic>
        </wp:inline>
      </w:drawing>
    </w:r>
    <w:r>
      <w:rPr>
        <w:lang w:eastAsia="pl-PL"/>
      </w:rPr>
      <w:t xml:space="preserve"> </w:t>
    </w:r>
    <w:r>
      <w:rPr>
        <w:noProof/>
        <w:lang w:eastAsia="pl-PL"/>
      </w:rPr>
      <w:t xml:space="preserve">   </w:t>
    </w:r>
    <w:r>
      <w:rPr>
        <w:noProof/>
        <w:lang w:eastAsia="pl-PL"/>
      </w:rPr>
      <w:drawing>
        <wp:inline distT="0" distB="0" distL="0" distR="0" wp14:anchorId="016F2B71" wp14:editId="3A0710ED">
          <wp:extent cx="2162175" cy="505645"/>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08" cy="511873"/>
                  </a:xfrm>
                  <a:prstGeom prst="rect">
                    <a:avLst/>
                  </a:prstGeom>
                  <a:noFill/>
                  <a:ln>
                    <a:noFill/>
                  </a:ln>
                </pic:spPr>
              </pic:pic>
            </a:graphicData>
          </a:graphic>
        </wp:inline>
      </w:drawing>
    </w:r>
  </w:p>
  <w:p w14:paraId="261BFE76" w14:textId="1EC632FA" w:rsidR="00F731AE" w:rsidRDefault="00153679">
    <w:pPr>
      <w:pStyle w:val="Nagwek"/>
    </w:pPr>
    <w:r>
      <w:rPr>
        <w:noProof/>
        <w:lang w:eastAsia="pl-PL"/>
      </w:rPr>
      <mc:AlternateContent>
        <mc:Choice Requires="wps">
          <w:drawing>
            <wp:anchor distT="0" distB="0" distL="114300" distR="114300" simplePos="0" relativeHeight="251663360" behindDoc="0" locked="0" layoutInCell="1" allowOverlap="1" wp14:anchorId="7496E1E7" wp14:editId="6ED93B56">
              <wp:simplePos x="0" y="0"/>
              <wp:positionH relativeFrom="column">
                <wp:posOffset>0</wp:posOffset>
              </wp:positionH>
              <wp:positionV relativeFrom="paragraph">
                <wp:posOffset>141605</wp:posOffset>
              </wp:positionV>
              <wp:extent cx="6625590" cy="0"/>
              <wp:effectExtent l="9525" t="8255" r="13335" b="1079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9525" algn="ctr">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7893D2"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52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" strokecolor="#7030a0"/>
          </w:pict>
        </mc:Fallback>
      </mc:AlternateConten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E8F9" w14:textId="77777777" w:rsidR="00F731AE" w:rsidRDefault="00D20664">
    <w:pPr>
      <w:pStyle w:val="Nagwek"/>
    </w:pPr>
    <w:r>
      <w:rPr>
        <w:lang w:eastAsia="ru-RU"/>
      </w:rPr>
      <w:pict w14:anchorId="6E6A9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27191" o:spid="_x0000_s2049" type="#_x0000_t75" style="position:absolute;left:0;text-align:left;margin-left:0;margin-top:0;width:731.7pt;height:98.3pt;z-index:-251657216;mso-position-horizontal:center;mso-position-horizontal-relative:margin;mso-position-vertical:center;mso-position-vertical-relative:margin" o:allowincell="f">
          <v:imagedata r:id="rId1" o:title="stopk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79"/>
    <w:rsid w:val="00021081"/>
    <w:rsid w:val="00042E97"/>
    <w:rsid w:val="00153679"/>
    <w:rsid w:val="001D1D40"/>
    <w:rsid w:val="00350401"/>
    <w:rsid w:val="00400062"/>
    <w:rsid w:val="004C17A2"/>
    <w:rsid w:val="00513FDC"/>
    <w:rsid w:val="00530FBB"/>
    <w:rsid w:val="00737720"/>
    <w:rsid w:val="00755E6D"/>
    <w:rsid w:val="009F77F4"/>
    <w:rsid w:val="00A5325C"/>
    <w:rsid w:val="00AA1F97"/>
    <w:rsid w:val="00C6536E"/>
    <w:rsid w:val="00C67627"/>
    <w:rsid w:val="00C873BF"/>
    <w:rsid w:val="00CA3E85"/>
    <w:rsid w:val="00CC7FEF"/>
    <w:rsid w:val="00D20664"/>
    <w:rsid w:val="00DA5E5B"/>
    <w:rsid w:val="00DC3B93"/>
    <w:rsid w:val="00E67CEF"/>
    <w:rsid w:val="00ED0C6C"/>
    <w:rsid w:val="00EE12FA"/>
    <w:rsid w:val="00EF3EAC"/>
    <w:rsid w:val="00EF4664"/>
    <w:rsid w:val="00F04031"/>
    <w:rsid w:val="00F23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566594"/>
  <w15:chartTrackingRefBased/>
  <w15:docId w15:val="{691285BE-9642-477B-A222-EA548AC5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679"/>
    <w:pPr>
      <w:spacing w:after="0" w:line="240" w:lineRule="auto"/>
      <w:jc w:val="both"/>
    </w:pPr>
    <w:rPr>
      <w:rFonts w:ascii="Arial" w:eastAsia="SimSun" w:hAnsi="Arial" w:cs="Times New Roman"/>
      <w:sz w:val="20"/>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link w:val="Stopka"/>
    <w:uiPriority w:val="99"/>
    <w:rsid w:val="00153679"/>
    <w:rPr>
      <w:rFonts w:ascii="Arial" w:hAnsi="Arial"/>
      <w:sz w:val="20"/>
    </w:rPr>
  </w:style>
  <w:style w:type="character" w:customStyle="1" w:styleId="NagwekZnak">
    <w:name w:val="Nagłówek Znak"/>
    <w:link w:val="Nagwek"/>
    <w:uiPriority w:val="99"/>
    <w:rsid w:val="00153679"/>
    <w:rPr>
      <w:rFonts w:ascii="Arial" w:hAnsi="Arial"/>
      <w:sz w:val="20"/>
    </w:rPr>
  </w:style>
  <w:style w:type="paragraph" w:customStyle="1" w:styleId="Tretekstu">
    <w:name w:val="Tre?? tekstu"/>
    <w:basedOn w:val="Domylnie"/>
    <w:uiPriority w:val="99"/>
    <w:unhideWhenUsed/>
    <w:rsid w:val="00153679"/>
    <w:pPr>
      <w:spacing w:after="120"/>
    </w:pPr>
  </w:style>
  <w:style w:type="paragraph" w:styleId="Nagwek">
    <w:name w:val="header"/>
    <w:basedOn w:val="Normalny"/>
    <w:link w:val="NagwekZnak"/>
    <w:uiPriority w:val="99"/>
    <w:unhideWhenUsed/>
    <w:rsid w:val="00153679"/>
    <w:pPr>
      <w:tabs>
        <w:tab w:val="center" w:pos="4536"/>
        <w:tab w:val="right" w:pos="9072"/>
      </w:tabs>
    </w:pPr>
    <w:rPr>
      <w:rFonts w:eastAsiaTheme="minorHAnsi" w:cstheme="minorBidi"/>
      <w:lang w:val="pl-PL"/>
    </w:rPr>
  </w:style>
  <w:style w:type="character" w:customStyle="1" w:styleId="NagwekZnak1">
    <w:name w:val="Nagłówek Znak1"/>
    <w:basedOn w:val="Domylnaczcionkaakapitu"/>
    <w:uiPriority w:val="99"/>
    <w:semiHidden/>
    <w:rsid w:val="00153679"/>
    <w:rPr>
      <w:rFonts w:ascii="Arial" w:eastAsia="SimSun" w:hAnsi="Arial" w:cs="Times New Roman"/>
      <w:sz w:val="20"/>
      <w:lang w:val="ru-RU"/>
    </w:rPr>
  </w:style>
  <w:style w:type="paragraph" w:styleId="Stopka">
    <w:name w:val="footer"/>
    <w:basedOn w:val="Normalny"/>
    <w:link w:val="StopkaZnak"/>
    <w:uiPriority w:val="99"/>
    <w:unhideWhenUsed/>
    <w:rsid w:val="00153679"/>
    <w:pPr>
      <w:tabs>
        <w:tab w:val="center" w:pos="4536"/>
        <w:tab w:val="right" w:pos="9072"/>
      </w:tabs>
    </w:pPr>
    <w:rPr>
      <w:rFonts w:eastAsiaTheme="minorHAnsi" w:cstheme="minorBidi"/>
      <w:lang w:val="pl-PL"/>
    </w:rPr>
  </w:style>
  <w:style w:type="character" w:customStyle="1" w:styleId="StopkaZnak1">
    <w:name w:val="Stopka Znak1"/>
    <w:basedOn w:val="Domylnaczcionkaakapitu"/>
    <w:uiPriority w:val="99"/>
    <w:semiHidden/>
    <w:rsid w:val="00153679"/>
    <w:rPr>
      <w:rFonts w:ascii="Arial" w:eastAsia="SimSun" w:hAnsi="Arial" w:cs="Times New Roman"/>
      <w:sz w:val="20"/>
      <w:lang w:val="ru-RU"/>
    </w:rPr>
  </w:style>
  <w:style w:type="paragraph" w:customStyle="1" w:styleId="Domylnie">
    <w:name w:val="Domy?lnie"/>
    <w:uiPriority w:val="99"/>
    <w:unhideWhenUsed/>
    <w:rsid w:val="00153679"/>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styleId="NormalnyWeb">
    <w:name w:val="Normal (Web)"/>
    <w:basedOn w:val="Normalny"/>
    <w:uiPriority w:val="99"/>
    <w:semiHidden/>
    <w:unhideWhenUsed/>
    <w:rsid w:val="00F23A0C"/>
    <w:pPr>
      <w:spacing w:before="100" w:beforeAutospacing="1" w:after="100" w:afterAutospacing="1"/>
      <w:jc w:val="left"/>
    </w:pPr>
    <w:rPr>
      <w:rFonts w:ascii="Times New Roman" w:eastAsia="Times New Roman" w:hAnsi="Times New Roman"/>
      <w:sz w:val="24"/>
      <w:szCs w:val="24"/>
      <w:lang w:val="pl-PL" w:eastAsia="pl-PL"/>
    </w:rPr>
  </w:style>
  <w:style w:type="character" w:styleId="Hipercze">
    <w:name w:val="Hyperlink"/>
    <w:basedOn w:val="Domylnaczcionkaakapitu"/>
    <w:uiPriority w:val="99"/>
    <w:semiHidden/>
    <w:unhideWhenUsed/>
    <w:rsid w:val="0002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874194">
      <w:bodyDiv w:val="1"/>
      <w:marLeft w:val="0"/>
      <w:marRight w:val="0"/>
      <w:marTop w:val="0"/>
      <w:marBottom w:val="0"/>
      <w:divBdr>
        <w:top w:val="none" w:sz="0" w:space="0" w:color="auto"/>
        <w:left w:val="none" w:sz="0" w:space="0" w:color="auto"/>
        <w:bottom w:val="none" w:sz="0" w:space="0" w:color="auto"/>
        <w:right w:val="none" w:sz="0" w:space="0" w:color="auto"/>
      </w:divBdr>
    </w:div>
    <w:div w:id="14939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840C-9E4A-4BE2-8BDD-41B86502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Pages>
  <Words>1089</Words>
  <Characters>6535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Wielgo</dc:creator>
  <cp:keywords/>
  <dc:description/>
  <cp:lastModifiedBy>Mikolaj</cp:lastModifiedBy>
  <cp:revision>22</cp:revision>
  <dcterms:created xsi:type="dcterms:W3CDTF">2021-01-20T08:48:00Z</dcterms:created>
  <dcterms:modified xsi:type="dcterms:W3CDTF">2021-01-22T09:47:00Z</dcterms:modified>
</cp:coreProperties>
</file>